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E74CC">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350883"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0E74CC"/>
    <w:p w:rsidR="000E74CC"/>
    <w:p w:rsidR="000E74CC"/>
    <w:p w:rsidR="000E74CC"/>
    <w:p w:rsidR="000E74CC"/>
    <w:p w:rsidR="000E74CC"/>
    <w:p w:rsidR="000E74CC"/>
    <w:p w:rsidR="000E74CC"/>
    <w:p w:rsidR="000E74CC"/>
    <w:p w:rsidR="000E74CC"/>
    <w:p w:rsidR="000E74CC"/>
    <w:p w:rsidR="000E74CC">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E74CC" w:rsidRPr="002F35BA" w:rsidP="000E74CC">
                            <w:pPr>
                              <w:outlineLvl w:val="0"/>
                              <w:rPr>
                                <w:rFonts w:ascii="Corbel" w:hAnsi="Corbel"/>
                                <w:b/>
                                <w:sz w:val="44"/>
                              </w:rPr>
                            </w:pPr>
                            <w:r w:rsidRPr="002F35BA">
                              <w:rPr>
                                <w:rFonts w:ascii="Corbel" w:hAnsi="Corbel"/>
                                <w:b/>
                                <w:sz w:val="44"/>
                              </w:rPr>
                              <w:t>Section 4</w:t>
                            </w:r>
                          </w:p>
                          <w:p w:rsidR="000E74CC" w:rsidP="000E74CC">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sz w:val="44"/>
                              </w:rPr>
                              <w:t>Decision Regarding the Future of Lower Ridge, Burnley</w:t>
                            </w:r>
                          </w:p>
                          <w:p w:rsidR="000E74CC" w:rsidP="000E74CC">
                            <w:pPr>
                              <w:outlineLvl w:val="0"/>
                              <w:rPr>
                                <w:rFonts w:ascii="Corbel" w:hAnsi="Corbel"/>
                                <w:b/>
                                <w:sz w:val="44"/>
                              </w:rPr>
                            </w:pPr>
                            <w:r w:rsidRPr="002F35BA">
                              <w:rPr>
                                <w:rFonts w:ascii="Corbel" w:hAnsi="Corbel"/>
                                <w:b/>
                                <w:sz w:val="44"/>
                              </w:rPr>
                              <w:t>For Decision Making Items</w:t>
                            </w:r>
                          </w:p>
                          <w:p w:rsidR="000E74CC" w:rsidRPr="009838D0" w:rsidP="000E74CC">
                            <w:pPr>
                              <w:outlineLvl w:val="0"/>
                              <w:rPr>
                                <w:rFonts w:ascii="Corbel" w:hAnsi="Corbel"/>
                                <w:b/>
                                <w:sz w:val="106"/>
                              </w:rPr>
                            </w:pPr>
                            <w:r>
                              <w:rPr>
                                <w:rFonts w:ascii="Corbel" w:hAnsi="Corbel"/>
                                <w:b/>
                                <w:sz w:val="44"/>
                              </w:rPr>
                              <w:t>13 September 2018</w:t>
                            </w:r>
                            <w:r>
                              <w:rPr>
                                <w:rFonts w:ascii="Corbel" w:hAnsi="Corbel"/>
                                <w:b/>
                                <w:sz w:val="44"/>
                              </w:rPr>
                              <w:br/>
                            </w:r>
                            <w:r>
                              <w:br/>
                            </w:r>
                          </w:p>
                          <w:p w:rsidR="000E74CC" w:rsidRPr="002F35BA" w:rsidP="000E74CC">
                            <w:pPr>
                              <w:rPr>
                                <w:rFonts w:ascii="Corbel" w:hAnsi="Corbel"/>
                                <w:b/>
                                <w:sz w:val="44"/>
                              </w:rPr>
                            </w:pPr>
                          </w:p>
                          <w:p w:rsidR="000E74CC" w:rsidRPr="002F35BA" w:rsidP="000E74CC">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0E74CC" w:rsidRPr="002F35BA" w:rsidP="000E74CC">
                      <w:pPr>
                        <w:outlineLvl w:val="0"/>
                        <w:rPr>
                          <w:rFonts w:ascii="Corbel" w:hAnsi="Corbel"/>
                          <w:b/>
                          <w:sz w:val="44"/>
                        </w:rPr>
                      </w:pPr>
                      <w:r w:rsidRPr="002F35BA">
                        <w:rPr>
                          <w:rFonts w:ascii="Corbel" w:hAnsi="Corbel"/>
                          <w:b/>
                          <w:sz w:val="44"/>
                        </w:rPr>
                        <w:t>Section 4</w:t>
                      </w:r>
                    </w:p>
                    <w:p w:rsidR="000E74CC" w:rsidP="000E74CC">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sz w:val="44"/>
                        </w:rPr>
                        <w:t>Decision Regarding the Future of Lower Ridge, Burnley</w:t>
                      </w:r>
                    </w:p>
                    <w:p w:rsidR="000E74CC" w:rsidP="000E74CC">
                      <w:pPr>
                        <w:outlineLvl w:val="0"/>
                        <w:rPr>
                          <w:rFonts w:ascii="Corbel" w:hAnsi="Corbel"/>
                          <w:b/>
                          <w:sz w:val="44"/>
                        </w:rPr>
                      </w:pPr>
                      <w:r w:rsidRPr="002F35BA">
                        <w:rPr>
                          <w:rFonts w:ascii="Corbel" w:hAnsi="Corbel"/>
                          <w:b/>
                          <w:sz w:val="44"/>
                        </w:rPr>
                        <w:t>For Decision Making Items</w:t>
                      </w:r>
                    </w:p>
                    <w:p w:rsidR="000E74CC" w:rsidRPr="009838D0" w:rsidP="000E74CC">
                      <w:pPr>
                        <w:outlineLvl w:val="0"/>
                        <w:rPr>
                          <w:rFonts w:ascii="Corbel" w:hAnsi="Corbel"/>
                          <w:b/>
                          <w:sz w:val="106"/>
                        </w:rPr>
                      </w:pPr>
                      <w:r>
                        <w:rPr>
                          <w:rFonts w:ascii="Corbel" w:hAnsi="Corbel"/>
                          <w:b/>
                          <w:sz w:val="44"/>
                        </w:rPr>
                        <w:t>13 September 2018</w:t>
                      </w:r>
                      <w:r>
                        <w:rPr>
                          <w:rFonts w:ascii="Corbel" w:hAnsi="Corbel"/>
                          <w:b/>
                          <w:sz w:val="44"/>
                        </w:rPr>
                        <w:br/>
                      </w:r>
                      <w:r>
                        <w:br/>
                      </w:r>
                    </w:p>
                    <w:p w:rsidR="000E74CC" w:rsidRPr="002F35BA" w:rsidP="000E74CC">
                      <w:pPr>
                        <w:rPr>
                          <w:rFonts w:ascii="Corbel" w:hAnsi="Corbel"/>
                          <w:b/>
                          <w:sz w:val="44"/>
                        </w:rPr>
                      </w:pPr>
                    </w:p>
                    <w:p w:rsidR="000E74CC" w:rsidRPr="002F35BA" w:rsidP="000E74CC">
                      <w:pPr>
                        <w:rPr>
                          <w:rFonts w:ascii="Corbel" w:hAnsi="Corbel"/>
                        </w:rPr>
                      </w:pPr>
                    </w:p>
                  </w:txbxContent>
                </v:textbox>
              </v:shape>
            </w:pict>
          </mc:Fallback>
        </mc:AlternateContent>
      </w:r>
    </w:p>
    <w:p w:rsidR="000E74CC"/>
    <w:p w:rsidR="000E74CC"/>
    <w:p w:rsidR="000E74CC"/>
    <w:p w:rsidR="000E74CC"/>
    <w:p w:rsidR="000E74CC"/>
    <w:p w:rsidR="000E74CC"/>
    <w:p w:rsidR="000E74CC"/>
    <w:p w:rsidR="000E74CC"/>
    <w:p w:rsidR="000E74CC">
      <w:pPr>
        <w:rPr>
          <w:b/>
        </w:rPr>
      </w:pPr>
      <w:r>
        <w:rPr>
          <w:b/>
        </w:rPr>
        <w:br w:type="page"/>
      </w:r>
    </w:p>
    <w:p w:rsidR="000E74CC" w:rsidP="000E74CC">
      <w:pPr>
        <w:outlineLvl w:val="0"/>
        <w:rPr>
          <w:b/>
        </w:rPr>
      </w:pPr>
      <w:r>
        <w:rPr>
          <w:b/>
        </w:rPr>
        <w:t>Question 1 - What is the nature of and are the key components of the proposal being presented?</w:t>
      </w:r>
    </w:p>
    <w:tbl>
      <w:tblPr>
        <w:tblStyle w:val="TableGrid"/>
        <w:tblW w:w="0" w:type="auto"/>
        <w:tblLook w:val="04A0"/>
      </w:tblPr>
      <w:tblGrid>
        <w:gridCol w:w="9016"/>
      </w:tblGrid>
      <w:tr w:rsidTr="000E74CC">
        <w:tblPrEx>
          <w:tblW w:w="0" w:type="auto"/>
          <w:tblLook w:val="04A0"/>
        </w:tblPrEx>
        <w:tc>
          <w:tcPr>
            <w:tcW w:w="9242" w:type="dxa"/>
          </w:tcPr>
          <w:p w:rsidR="000E74CC" w:rsidP="000E74CC">
            <w:pPr>
              <w:outlineLvl w:val="0"/>
              <w:rPr>
                <w:b/>
              </w:rPr>
            </w:pPr>
          </w:p>
          <w:p w:rsidR="000E74CC" w:rsidP="000E74CC">
            <w:r>
              <w:t>The Cabinet report is titled 'The Future of Lower Ridge.'</w:t>
            </w:r>
          </w:p>
          <w:p w:rsidR="000E74CC" w:rsidP="000E74CC">
            <w:r>
              <w:t xml:space="preserve">Lower Ridge is an older persons' residential care home in Burnley.  It is owned by the County Council and managed and operated by Adult Services as part of its Older Peoples Care Services.  </w:t>
            </w:r>
          </w:p>
          <w:p w:rsidR="000E74CC" w:rsidP="000E74CC">
            <w:r>
              <w:t>At its meeting on 12 April 2018 Cabinet considered a report which called for a consultation to be undertaken on the possible closure of Lower Ridge. That consultation ran from 23 April 2018 to 15 July 2018.</w:t>
            </w:r>
          </w:p>
          <w:p w:rsidR="000E74CC" w:rsidP="000E74CC">
            <w:r>
              <w:t xml:space="preserve">Taking account of the background and the findings from the formal consultation, and the Equality Analysis, this report is asking the council to make a decision about the future of Lower Ridge. </w:t>
            </w:r>
          </w:p>
          <w:p w:rsidR="000E74CC" w:rsidP="000E74CC">
            <w:r>
              <w:t xml:space="preserve">In summary, the proposal recommends the closure of Lower Ridge, Burnley. </w:t>
            </w:r>
          </w:p>
          <w:p w:rsidR="000E74CC" w:rsidP="000E74CC">
            <w:pPr>
              <w:outlineLvl w:val="0"/>
              <w:rPr>
                <w:b/>
              </w:rPr>
            </w:pPr>
          </w:p>
        </w:tc>
      </w:tr>
    </w:tbl>
    <w:p w:rsidR="000E74CC" w:rsidP="000E74CC">
      <w:pPr>
        <w:rPr>
          <w:b/>
        </w:rPr>
      </w:pPr>
    </w:p>
    <w:p w:rsidR="000E74CC" w:rsidRPr="00E810B5" w:rsidP="000E74CC">
      <w:pPr>
        <w:rPr>
          <w:b/>
        </w:rPr>
      </w:pPr>
      <w:r>
        <w:rPr>
          <w:b/>
        </w:rPr>
        <w:t xml:space="preserve">Question 2 </w:t>
      </w:r>
      <w:r w:rsidRPr="00E810B5">
        <w:rPr>
          <w:b/>
        </w:rPr>
        <w:t xml:space="preserve">  - Scope of the Proposal</w:t>
      </w:r>
    </w:p>
    <w:p w:rsidR="000E74CC" w:rsidP="000E74CC">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E74CC" w:rsidP="000E74CC">
            <w:r>
              <w:t>The residents primarily affected will be these 15 older people currently living at Lower Ridge.  There will be an impact also on their relatives, many of whom will also be living in or near to Burnley, Lancashire.</w:t>
            </w:r>
          </w:p>
          <w:p w:rsidR="000E74CC" w:rsidP="000E74CC">
            <w:r>
              <w:t>The closure of the home will also reduce the choice of a County Council run home for older people in the area in future.</w:t>
            </w:r>
          </w:p>
          <w:p w:rsidR="00A8270C" w:rsidP="000E74CC">
            <w:r>
              <w:t>Staff employed at Lower Ridge will also be affected.</w:t>
            </w:r>
          </w:p>
        </w:tc>
      </w:tr>
    </w:tbl>
    <w:p w:rsidR="000E74CC" w:rsidP="000E74CC"/>
    <w:p w:rsidR="00A8270C" w:rsidRPr="004F2BE6" w:rsidP="000E74CC"/>
    <w:p w:rsidR="000E74CC">
      <w:pPr>
        <w:rPr>
          <w:b/>
        </w:rPr>
      </w:pPr>
      <w:r>
        <w:rPr>
          <w:b/>
        </w:rPr>
        <w:t>Question 3 – Protected Characteristics Potentially Affected</w:t>
      </w:r>
    </w:p>
    <w:p w:rsidR="000E74CC" w:rsidRPr="00E810B5">
      <w:r w:rsidRPr="00E810B5">
        <w:t xml:space="preserve">Could the </w:t>
      </w:r>
      <w:r>
        <w:t xml:space="preserve">proposal </w:t>
      </w:r>
      <w:r w:rsidRPr="00E810B5">
        <w:t xml:space="preserve">have a particular impact on any group of individuals sharing protected characteristics under the Equality Act 2010, </w:t>
      </w:r>
      <w:r w:rsidRPr="00E810B5">
        <w:t>namely:</w:t>
      </w:r>
      <w:r w:rsidRPr="00E810B5">
        <w:t xml:space="preserve"> </w:t>
      </w:r>
    </w:p>
    <w:p w:rsidR="000E74CC" w:rsidP="000E74CC">
      <w:pPr>
        <w:pStyle w:val="ColorfulList-Accent11"/>
        <w:numPr>
          <w:ilvl w:val="0"/>
          <w:numId w:val="1"/>
        </w:numPr>
      </w:pPr>
      <w:r>
        <w:t>Age</w:t>
      </w:r>
    </w:p>
    <w:p w:rsidR="000E74CC" w:rsidP="000E74CC">
      <w:pPr>
        <w:pStyle w:val="ColorfulList-Accent11"/>
        <w:numPr>
          <w:ilvl w:val="0"/>
          <w:numId w:val="1"/>
        </w:numPr>
      </w:pPr>
      <w:r>
        <w:t>Disability including Deaf people</w:t>
      </w:r>
    </w:p>
    <w:p w:rsidR="000E74CC" w:rsidP="000E74CC">
      <w:pPr>
        <w:pStyle w:val="ColorfulList-Accent11"/>
        <w:numPr>
          <w:ilvl w:val="0"/>
          <w:numId w:val="1"/>
        </w:numPr>
      </w:pPr>
      <w:r>
        <w:t>Gender reassignment</w:t>
      </w:r>
    </w:p>
    <w:p w:rsidR="000E74CC" w:rsidP="000E74CC">
      <w:pPr>
        <w:pStyle w:val="ColorfulList-Accent11"/>
        <w:numPr>
          <w:ilvl w:val="0"/>
          <w:numId w:val="1"/>
        </w:numPr>
      </w:pPr>
      <w:r>
        <w:t>Pregnancy and maternity</w:t>
      </w:r>
    </w:p>
    <w:p w:rsidR="000E74CC" w:rsidP="000E74CC">
      <w:pPr>
        <w:pStyle w:val="ColorfulList-Accent11"/>
        <w:numPr>
          <w:ilvl w:val="0"/>
          <w:numId w:val="1"/>
        </w:numPr>
      </w:pPr>
      <w:r>
        <w:t>Race/ethnicity/nationality</w:t>
      </w:r>
    </w:p>
    <w:p w:rsidR="000E74CC" w:rsidP="000E74CC">
      <w:pPr>
        <w:pStyle w:val="ColorfulList-Accent11"/>
        <w:numPr>
          <w:ilvl w:val="0"/>
          <w:numId w:val="1"/>
        </w:numPr>
      </w:pPr>
      <w:r>
        <w:t>Religion or belief</w:t>
      </w:r>
    </w:p>
    <w:p w:rsidR="000E74CC" w:rsidP="000E74CC">
      <w:pPr>
        <w:pStyle w:val="ColorfulList-Accent11"/>
        <w:numPr>
          <w:ilvl w:val="0"/>
          <w:numId w:val="1"/>
        </w:numPr>
      </w:pPr>
      <w:r>
        <w:t>Sex/gender</w:t>
      </w:r>
    </w:p>
    <w:p w:rsidR="000E74CC" w:rsidP="000E74CC">
      <w:pPr>
        <w:pStyle w:val="ColorfulList-Accent11"/>
        <w:numPr>
          <w:ilvl w:val="0"/>
          <w:numId w:val="1"/>
        </w:numPr>
      </w:pPr>
      <w:r>
        <w:t>Sexual orientation</w:t>
      </w:r>
    </w:p>
    <w:p w:rsidR="000E74CC" w:rsidP="000E74CC">
      <w:pPr>
        <w:pStyle w:val="ColorfulList-Accent11"/>
        <w:numPr>
          <w:ilvl w:val="0"/>
          <w:numId w:val="1"/>
        </w:numPr>
      </w:pPr>
      <w:r>
        <w:t>Marriage or Civil Partnership Status</w:t>
      </w:r>
    </w:p>
    <w:p w:rsidR="000E74CC" w:rsidP="000E74CC">
      <w:pPr>
        <w:pStyle w:val="ColorfulList-Accent11"/>
        <w:ind w:left="360"/>
      </w:pPr>
      <w:r>
        <w:t>And what information is available about these groups in the County's population or as service users/customers?</w:t>
      </w:r>
    </w:p>
    <w:p w:rsidR="003A059D" w:rsidP="000E74CC">
      <w:pPr>
        <w:pStyle w:val="ColorfulList-Accent11"/>
        <w:ind w:left="360"/>
      </w:pPr>
    </w:p>
    <w:tbl>
      <w:tblPr>
        <w:tblStyle w:val="TableGrid"/>
        <w:tblW w:w="9351" w:type="dxa"/>
        <w:tblLook w:val="04A0"/>
      </w:tblPr>
      <w:tblGrid>
        <w:gridCol w:w="10144"/>
      </w:tblGrid>
      <w:tr w:rsidTr="00EA5224">
        <w:tblPrEx>
          <w:tblW w:w="9351" w:type="dxa"/>
          <w:tblLook w:val="04A0"/>
        </w:tblPrEx>
        <w:tc>
          <w:tcPr>
            <w:tcW w:w="9351" w:type="dxa"/>
          </w:tcPr>
          <w:p w:rsidR="00E42D8D" w:rsidP="00E42D8D">
            <w:r>
              <w:t>As of August 2018 there are 15 residents living at Lower Ridge, Burnley</w:t>
            </w:r>
          </w:p>
          <w:p w:rsidR="00E42D8D" w:rsidP="00E42D8D">
            <w:pPr>
              <w:pStyle w:val="ListParagraph"/>
              <w:numPr>
                <w:ilvl w:val="0"/>
                <w:numId w:val="5"/>
              </w:numPr>
            </w:pPr>
            <w:r>
              <w:t>7 Male</w:t>
            </w:r>
          </w:p>
          <w:p w:rsidR="00E42D8D" w:rsidP="00E42D8D">
            <w:pPr>
              <w:pStyle w:val="ListParagraph"/>
              <w:numPr>
                <w:ilvl w:val="0"/>
                <w:numId w:val="5"/>
              </w:numPr>
            </w:pPr>
            <w:r>
              <w:t xml:space="preserve">8 female </w:t>
            </w:r>
          </w:p>
          <w:p w:rsidR="00E42D8D" w:rsidP="00E42D8D">
            <w:r>
              <w:t xml:space="preserve">All residents consider themselves as 'White British'.  </w:t>
            </w:r>
          </w:p>
          <w:p w:rsidR="00E42D8D" w:rsidP="00E42D8D">
            <w:r>
              <w:t xml:space="preserve">Five residents are aged 85 years and over.  </w:t>
            </w:r>
          </w:p>
          <w:p w:rsidR="00E42D8D" w:rsidP="00E42D8D">
            <w:r>
              <w:t>12 residents have lived at Lower Ridge less than two years.  2 residents have lived at Lower Ridge longer than 10 years.</w:t>
            </w:r>
          </w:p>
          <w:p w:rsidR="00E42D8D" w:rsidP="00E42D8D">
            <w:r>
              <w:t>All residents have some form of disability/health problems which are prevalent in many older people.  General themes include Dementia/Cognitive impairment, sensory impairment issues, heart problems and diagnoses of cancer.</w:t>
            </w:r>
          </w:p>
          <w:p w:rsidR="00E42D8D" w:rsidP="00EA5224">
            <w:pPr>
              <w:spacing w:after="0"/>
            </w:pPr>
            <w:r w:rsidRPr="00E42D8D">
              <w:t>A detailed breakdown is provided below</w:t>
            </w:r>
          </w:p>
          <w:p w:rsidR="00E42D8D" w:rsidP="00EA5224">
            <w:pPr>
              <w:spacing w:after="0"/>
            </w:pPr>
          </w:p>
          <w:p w:rsidR="00E42D8D" w:rsidP="00EA5224">
            <w:pPr>
              <w:spacing w:after="0"/>
            </w:pPr>
          </w:p>
          <w:p w:rsidR="00E42D8D" w:rsidP="00EA5224">
            <w:pPr>
              <w:spacing w:after="0"/>
            </w:pPr>
          </w:p>
          <w:p w:rsidR="00E42D8D" w:rsidP="00EA5224">
            <w:pPr>
              <w:spacing w:after="0"/>
            </w:pPr>
          </w:p>
          <w:p w:rsidR="00E42D8D" w:rsidP="00EA5224">
            <w:pPr>
              <w:spacing w:after="0"/>
            </w:pPr>
          </w:p>
          <w:p w:rsidR="00E42D8D" w:rsidP="00EA5224">
            <w:pPr>
              <w:spacing w:after="0"/>
            </w:pPr>
          </w:p>
          <w:p w:rsidR="00E42D8D" w:rsidP="00EA5224">
            <w:pPr>
              <w:spacing w:after="0"/>
            </w:pPr>
          </w:p>
          <w:p w:rsidR="00E42D8D" w:rsidRPr="00E42D8D" w:rsidP="00EA5224">
            <w:pPr>
              <w:spacing w:after="0"/>
            </w:pPr>
          </w:p>
          <w:p w:rsidR="00E42D8D" w:rsidP="00EA5224">
            <w:pPr>
              <w:spacing w:after="0"/>
              <w:rPr>
                <w:b/>
                <w:sz w:val="22"/>
              </w:rPr>
            </w:pPr>
          </w:p>
          <w:p w:rsidR="00EA5224" w:rsidP="00EA5224">
            <w:pPr>
              <w:spacing w:after="0"/>
              <w:rPr>
                <w:b/>
                <w:sz w:val="22"/>
              </w:rPr>
            </w:pPr>
            <w:r>
              <w:rPr>
                <w:b/>
                <w:sz w:val="22"/>
              </w:rPr>
              <w:t>Resident breakdown as of 3</w:t>
            </w:r>
            <w:r>
              <w:rPr>
                <w:b/>
                <w:sz w:val="22"/>
                <w:vertAlign w:val="superscript"/>
              </w:rPr>
              <w:t>rd</w:t>
            </w:r>
            <w:r>
              <w:rPr>
                <w:b/>
                <w:sz w:val="22"/>
              </w:rPr>
              <w:t xml:space="preserve"> August 2018</w:t>
            </w:r>
          </w:p>
          <w:p w:rsidR="00EA5224" w:rsidP="00EA5224">
            <w:pPr>
              <w:spacing w:after="0"/>
              <w:rPr>
                <w:sz w:val="18"/>
                <w:szCs w:val="18"/>
              </w:rPr>
            </w:pPr>
          </w:p>
          <w:p w:rsidR="00EA5224" w:rsidP="00EA5224">
            <w:pPr>
              <w:rPr>
                <w:b/>
                <w:sz w:val="22"/>
              </w:rPr>
            </w:pPr>
            <w:r>
              <w:rPr>
                <w:b/>
                <w:sz w:val="22"/>
              </w:rPr>
              <w:t>Lower Ridge</w:t>
            </w:r>
          </w:p>
          <w:tbl>
            <w:tblPr>
              <w:tblStyle w:val="TableGrid"/>
              <w:tblW w:w="9918" w:type="dxa"/>
              <w:tblLook w:val="04A0"/>
            </w:tblPr>
            <w:tblGrid>
              <w:gridCol w:w="687"/>
              <w:gridCol w:w="1242"/>
              <w:gridCol w:w="847"/>
              <w:gridCol w:w="985"/>
              <w:gridCol w:w="687"/>
              <w:gridCol w:w="616"/>
              <w:gridCol w:w="1595"/>
              <w:gridCol w:w="974"/>
              <w:gridCol w:w="2285"/>
            </w:tblGrid>
            <w:tr w:rsidTr="00EA5224">
              <w:tblPrEx>
                <w:tblW w:w="9918" w:type="dxa"/>
                <w:tblLook w:val="04A0"/>
              </w:tblPrEx>
              <w:tc>
                <w:tcPr>
                  <w:tcW w:w="1929" w:type="dxa"/>
                  <w:gridSpan w:val="2"/>
                  <w:vMerge w:val="restart"/>
                  <w:tcBorders>
                    <w:top w:val="single" w:sz="4" w:space="0" w:color="000000"/>
                    <w:left w:val="single" w:sz="4" w:space="0" w:color="000000"/>
                    <w:bottom w:val="single" w:sz="4" w:space="0" w:color="000000" w:themeColor="text1"/>
                    <w:right w:val="single" w:sz="4" w:space="0" w:color="000000"/>
                  </w:tcBorders>
                  <w:hideMark/>
                </w:tcPr>
                <w:p w:rsidR="00EA5224" w:rsidP="00EA5224">
                  <w:pPr>
                    <w:jc w:val="center"/>
                    <w:rPr>
                      <w:b/>
                      <w:sz w:val="20"/>
                      <w:szCs w:val="20"/>
                    </w:rPr>
                  </w:pPr>
                  <w:r>
                    <w:rPr>
                      <w:b/>
                      <w:sz w:val="20"/>
                      <w:szCs w:val="20"/>
                    </w:rPr>
                    <w:t>Number of Residents</w:t>
                  </w:r>
                </w:p>
              </w:tc>
              <w:tc>
                <w:tcPr>
                  <w:tcW w:w="1832" w:type="dxa"/>
                  <w:gridSpan w:val="2"/>
                  <w:tcBorders>
                    <w:top w:val="single" w:sz="4" w:space="0" w:color="000000"/>
                    <w:left w:val="single" w:sz="4" w:space="0" w:color="000000"/>
                    <w:bottom w:val="single" w:sz="4" w:space="0" w:color="000000"/>
                    <w:right w:val="single" w:sz="4" w:space="0" w:color="000000"/>
                  </w:tcBorders>
                  <w:hideMark/>
                </w:tcPr>
                <w:p w:rsidR="00EA5224" w:rsidP="00EA5224">
                  <w:pPr>
                    <w:jc w:val="center"/>
                    <w:rPr>
                      <w:b/>
                      <w:sz w:val="20"/>
                      <w:szCs w:val="20"/>
                    </w:rPr>
                  </w:pPr>
                  <w:r>
                    <w:rPr>
                      <w:b/>
                      <w:sz w:val="20"/>
                      <w:szCs w:val="20"/>
                    </w:rPr>
                    <w:t>Gender</w:t>
                  </w:r>
                </w:p>
              </w:tc>
              <w:tc>
                <w:tcPr>
                  <w:tcW w:w="3872" w:type="dxa"/>
                  <w:gridSpan w:val="4"/>
                  <w:tcBorders>
                    <w:top w:val="single" w:sz="4" w:space="0" w:color="000000"/>
                    <w:left w:val="single" w:sz="4" w:space="0" w:color="000000"/>
                    <w:bottom w:val="single" w:sz="4" w:space="0" w:color="000000"/>
                    <w:right w:val="single" w:sz="4" w:space="0" w:color="000000"/>
                  </w:tcBorders>
                  <w:hideMark/>
                </w:tcPr>
                <w:p w:rsidR="00EA5224" w:rsidP="00EA5224">
                  <w:pPr>
                    <w:jc w:val="center"/>
                    <w:rPr>
                      <w:b/>
                      <w:sz w:val="20"/>
                      <w:szCs w:val="20"/>
                    </w:rPr>
                  </w:pPr>
                  <w:r>
                    <w:rPr>
                      <w:b/>
                      <w:sz w:val="20"/>
                      <w:szCs w:val="20"/>
                    </w:rPr>
                    <w:t>Needs of Resident</w:t>
                  </w:r>
                </w:p>
              </w:tc>
              <w:tc>
                <w:tcPr>
                  <w:tcW w:w="2285" w:type="dxa"/>
                  <w:tcBorders>
                    <w:top w:val="single" w:sz="4" w:space="0" w:color="000000"/>
                    <w:left w:val="single" w:sz="4" w:space="0" w:color="000000"/>
                    <w:bottom w:val="single" w:sz="4" w:space="0" w:color="000000"/>
                    <w:right w:val="single" w:sz="4" w:space="0" w:color="000000"/>
                  </w:tcBorders>
                  <w:hideMark/>
                </w:tcPr>
                <w:p w:rsidR="00EA5224" w:rsidP="00EA5224">
                  <w:pPr>
                    <w:jc w:val="center"/>
                    <w:rPr>
                      <w:b/>
                      <w:sz w:val="20"/>
                      <w:szCs w:val="20"/>
                    </w:rPr>
                  </w:pPr>
                  <w:r>
                    <w:rPr>
                      <w:b/>
                      <w:sz w:val="20"/>
                      <w:szCs w:val="20"/>
                    </w:rPr>
                    <w:t>Ethnicity</w:t>
                  </w:r>
                </w:p>
              </w:tc>
            </w:tr>
            <w:tr w:rsidTr="00EA5224">
              <w:tblPrEx>
                <w:tblW w:w="9918" w:type="dxa"/>
                <w:tblLook w:val="04A0"/>
              </w:tblPrEx>
              <w:tc>
                <w:tcPr>
                  <w:tcW w:w="0" w:type="auto"/>
                  <w:gridSpan w:val="2"/>
                  <w:vMerge/>
                  <w:tcBorders>
                    <w:top w:val="single" w:sz="4" w:space="0" w:color="000000"/>
                    <w:left w:val="single" w:sz="4" w:space="0" w:color="000000"/>
                    <w:bottom w:val="single" w:sz="4" w:space="0" w:color="000000" w:themeColor="text1"/>
                    <w:right w:val="single" w:sz="4" w:space="0" w:color="000000"/>
                  </w:tcBorders>
                  <w:vAlign w:val="center"/>
                  <w:hideMark/>
                </w:tcPr>
                <w:p w:rsidR="00EA5224" w:rsidP="00EA5224">
                  <w:pPr>
                    <w:spacing w:after="0" w:line="240" w:lineRule="auto"/>
                    <w:rPr>
                      <w:b/>
                      <w:sz w:val="20"/>
                      <w:szCs w:val="20"/>
                    </w:rPr>
                  </w:pPr>
                </w:p>
              </w:tc>
              <w:tc>
                <w:tcPr>
                  <w:tcW w:w="847" w:type="dxa"/>
                  <w:tcBorders>
                    <w:top w:val="single" w:sz="4" w:space="0" w:color="000000"/>
                    <w:left w:val="single" w:sz="4" w:space="0" w:color="000000"/>
                    <w:bottom w:val="single" w:sz="4" w:space="0" w:color="000000" w:themeColor="text1"/>
                    <w:right w:val="single" w:sz="4" w:space="0" w:color="000000"/>
                  </w:tcBorders>
                  <w:hideMark/>
                </w:tcPr>
                <w:p w:rsidR="00EA5224" w:rsidP="00EA5224">
                  <w:pPr>
                    <w:jc w:val="center"/>
                    <w:rPr>
                      <w:b/>
                      <w:sz w:val="20"/>
                      <w:szCs w:val="20"/>
                    </w:rPr>
                  </w:pPr>
                  <w:r>
                    <w:rPr>
                      <w:b/>
                      <w:sz w:val="20"/>
                      <w:szCs w:val="20"/>
                    </w:rPr>
                    <w:t>Male</w:t>
                  </w:r>
                </w:p>
              </w:tc>
              <w:tc>
                <w:tcPr>
                  <w:tcW w:w="985" w:type="dxa"/>
                  <w:tcBorders>
                    <w:top w:val="single" w:sz="4" w:space="0" w:color="000000"/>
                    <w:left w:val="single" w:sz="4" w:space="0" w:color="000000"/>
                    <w:bottom w:val="single" w:sz="4" w:space="0" w:color="000000" w:themeColor="text1"/>
                    <w:right w:val="single" w:sz="4" w:space="0" w:color="000000"/>
                  </w:tcBorders>
                  <w:hideMark/>
                </w:tcPr>
                <w:p w:rsidR="00EA5224" w:rsidP="00EA5224">
                  <w:pPr>
                    <w:jc w:val="center"/>
                    <w:rPr>
                      <w:b/>
                      <w:sz w:val="20"/>
                      <w:szCs w:val="20"/>
                    </w:rPr>
                  </w:pPr>
                  <w:r>
                    <w:rPr>
                      <w:b/>
                      <w:sz w:val="20"/>
                      <w:szCs w:val="20"/>
                    </w:rPr>
                    <w:t>Female</w:t>
                  </w:r>
                </w:p>
              </w:tc>
              <w:tc>
                <w:tcPr>
                  <w:tcW w:w="1303" w:type="dxa"/>
                  <w:gridSpan w:val="2"/>
                  <w:tcBorders>
                    <w:top w:val="single" w:sz="4" w:space="0" w:color="000000"/>
                    <w:left w:val="single" w:sz="4" w:space="0" w:color="000000"/>
                    <w:bottom w:val="single" w:sz="4" w:space="0" w:color="000000" w:themeColor="text1"/>
                    <w:right w:val="single" w:sz="4" w:space="0" w:color="000000"/>
                  </w:tcBorders>
                  <w:hideMark/>
                </w:tcPr>
                <w:p w:rsidR="00EA5224" w:rsidP="00EA5224">
                  <w:pPr>
                    <w:jc w:val="center"/>
                    <w:rPr>
                      <w:b/>
                      <w:sz w:val="18"/>
                      <w:szCs w:val="18"/>
                    </w:rPr>
                  </w:pPr>
                  <w:r>
                    <w:rPr>
                      <w:b/>
                      <w:sz w:val="18"/>
                      <w:szCs w:val="18"/>
                    </w:rPr>
                    <w:t>Dementia</w:t>
                  </w:r>
                </w:p>
              </w:tc>
              <w:tc>
                <w:tcPr>
                  <w:tcW w:w="1595" w:type="dxa"/>
                  <w:tcBorders>
                    <w:top w:val="single" w:sz="4" w:space="0" w:color="000000"/>
                    <w:left w:val="single" w:sz="4" w:space="0" w:color="000000"/>
                    <w:bottom w:val="single" w:sz="4" w:space="0" w:color="000000" w:themeColor="text1"/>
                    <w:right w:val="single" w:sz="4" w:space="0" w:color="000000"/>
                  </w:tcBorders>
                  <w:hideMark/>
                </w:tcPr>
                <w:p w:rsidR="00EA5224" w:rsidP="00EA5224">
                  <w:pPr>
                    <w:jc w:val="center"/>
                    <w:rPr>
                      <w:b/>
                      <w:sz w:val="18"/>
                      <w:szCs w:val="18"/>
                    </w:rPr>
                  </w:pPr>
                  <w:r>
                    <w:rPr>
                      <w:b/>
                      <w:sz w:val="18"/>
                      <w:szCs w:val="18"/>
                    </w:rPr>
                    <w:t>Mainstream</w:t>
                  </w:r>
                </w:p>
              </w:tc>
              <w:tc>
                <w:tcPr>
                  <w:tcW w:w="974" w:type="dxa"/>
                  <w:tcBorders>
                    <w:top w:val="single" w:sz="4" w:space="0" w:color="000000"/>
                    <w:left w:val="single" w:sz="4" w:space="0" w:color="000000"/>
                    <w:bottom w:val="single" w:sz="4" w:space="0" w:color="000000" w:themeColor="text1"/>
                    <w:right w:val="single" w:sz="4" w:space="0" w:color="000000"/>
                  </w:tcBorders>
                  <w:hideMark/>
                </w:tcPr>
                <w:p w:rsidR="00EA5224" w:rsidP="00EA5224">
                  <w:pPr>
                    <w:jc w:val="center"/>
                    <w:rPr>
                      <w:b/>
                      <w:sz w:val="18"/>
                      <w:szCs w:val="18"/>
                    </w:rPr>
                  </w:pPr>
                  <w:r>
                    <w:rPr>
                      <w:b/>
                      <w:sz w:val="18"/>
                      <w:szCs w:val="18"/>
                    </w:rPr>
                    <w:t>Rehab</w:t>
                  </w:r>
                </w:p>
              </w:tc>
              <w:tc>
                <w:tcPr>
                  <w:tcW w:w="2285" w:type="dxa"/>
                  <w:tcBorders>
                    <w:top w:val="single" w:sz="4" w:space="0" w:color="000000"/>
                    <w:left w:val="single" w:sz="4" w:space="0" w:color="000000"/>
                    <w:bottom w:val="single" w:sz="4" w:space="0" w:color="000000" w:themeColor="text1"/>
                    <w:right w:val="single" w:sz="4" w:space="0" w:color="000000"/>
                  </w:tcBorders>
                  <w:hideMark/>
                </w:tcPr>
                <w:p w:rsidR="00EA5224" w:rsidP="00EA5224">
                  <w:pPr>
                    <w:jc w:val="center"/>
                    <w:rPr>
                      <w:b/>
                      <w:sz w:val="18"/>
                      <w:szCs w:val="18"/>
                    </w:rPr>
                  </w:pPr>
                  <w:r>
                    <w:rPr>
                      <w:b/>
                      <w:sz w:val="18"/>
                      <w:szCs w:val="18"/>
                    </w:rPr>
                    <w:t>White British</w:t>
                  </w:r>
                </w:p>
              </w:tc>
            </w:tr>
            <w:tr w:rsidTr="00EA5224">
              <w:tblPrEx>
                <w:tblW w:w="9918" w:type="dxa"/>
                <w:tblLook w:val="04A0"/>
              </w:tblPrEx>
              <w:tc>
                <w:tcPr>
                  <w:tcW w:w="1929" w:type="dxa"/>
                  <w:gridSpan w:val="2"/>
                  <w:tcBorders>
                    <w:top w:val="single" w:sz="4" w:space="0" w:color="000000"/>
                    <w:left w:val="single" w:sz="4" w:space="0" w:color="000000"/>
                    <w:bottom w:val="single" w:sz="4" w:space="0" w:color="auto"/>
                    <w:right w:val="single" w:sz="4" w:space="0" w:color="000000"/>
                  </w:tcBorders>
                  <w:hideMark/>
                </w:tcPr>
                <w:p w:rsidR="00EA5224" w:rsidP="00EA5224">
                  <w:pPr>
                    <w:ind w:left="360"/>
                    <w:jc w:val="center"/>
                    <w:rPr>
                      <w:sz w:val="20"/>
                      <w:szCs w:val="20"/>
                    </w:rPr>
                  </w:pPr>
                  <w:r>
                    <w:rPr>
                      <w:sz w:val="20"/>
                      <w:szCs w:val="20"/>
                    </w:rPr>
                    <w:t>15</w:t>
                  </w:r>
                </w:p>
              </w:tc>
              <w:tc>
                <w:tcPr>
                  <w:tcW w:w="847" w:type="dxa"/>
                  <w:tcBorders>
                    <w:top w:val="single" w:sz="4" w:space="0" w:color="000000"/>
                    <w:left w:val="single" w:sz="4" w:space="0" w:color="000000"/>
                    <w:bottom w:val="single" w:sz="4" w:space="0" w:color="auto"/>
                    <w:right w:val="single" w:sz="4" w:space="0" w:color="000000"/>
                  </w:tcBorders>
                  <w:hideMark/>
                </w:tcPr>
                <w:p w:rsidR="00EA5224" w:rsidP="00EA5224">
                  <w:pPr>
                    <w:ind w:left="360"/>
                    <w:rPr>
                      <w:sz w:val="20"/>
                      <w:szCs w:val="20"/>
                    </w:rPr>
                  </w:pPr>
                  <w:r>
                    <w:rPr>
                      <w:sz w:val="20"/>
                      <w:szCs w:val="20"/>
                    </w:rPr>
                    <w:t>7</w:t>
                  </w:r>
                </w:p>
              </w:tc>
              <w:tc>
                <w:tcPr>
                  <w:tcW w:w="985" w:type="dxa"/>
                  <w:tcBorders>
                    <w:top w:val="single" w:sz="4" w:space="0" w:color="000000"/>
                    <w:left w:val="single" w:sz="4" w:space="0" w:color="000000"/>
                    <w:bottom w:val="single" w:sz="4" w:space="0" w:color="auto"/>
                    <w:right w:val="single" w:sz="4" w:space="0" w:color="000000"/>
                  </w:tcBorders>
                  <w:hideMark/>
                </w:tcPr>
                <w:p w:rsidR="00EA5224" w:rsidP="00EA5224">
                  <w:pPr>
                    <w:ind w:left="360"/>
                    <w:rPr>
                      <w:sz w:val="20"/>
                      <w:szCs w:val="20"/>
                    </w:rPr>
                  </w:pPr>
                  <w:r>
                    <w:rPr>
                      <w:sz w:val="20"/>
                      <w:szCs w:val="20"/>
                    </w:rPr>
                    <w:t>8</w:t>
                  </w:r>
                </w:p>
              </w:tc>
              <w:tc>
                <w:tcPr>
                  <w:tcW w:w="1303" w:type="dxa"/>
                  <w:gridSpan w:val="2"/>
                  <w:tcBorders>
                    <w:top w:val="single" w:sz="4" w:space="0" w:color="000000"/>
                    <w:left w:val="single" w:sz="4" w:space="0" w:color="000000"/>
                    <w:bottom w:val="single" w:sz="4" w:space="0" w:color="auto"/>
                    <w:right w:val="single" w:sz="4" w:space="0" w:color="000000"/>
                  </w:tcBorders>
                  <w:hideMark/>
                </w:tcPr>
                <w:p w:rsidR="00EA5224" w:rsidP="00EA5224">
                  <w:pPr>
                    <w:jc w:val="center"/>
                    <w:rPr>
                      <w:sz w:val="20"/>
                      <w:szCs w:val="20"/>
                    </w:rPr>
                  </w:pPr>
                  <w:r>
                    <w:rPr>
                      <w:sz w:val="20"/>
                      <w:szCs w:val="20"/>
                    </w:rPr>
                    <w:t>10</w:t>
                  </w:r>
                </w:p>
              </w:tc>
              <w:tc>
                <w:tcPr>
                  <w:tcW w:w="1595" w:type="dxa"/>
                  <w:tcBorders>
                    <w:top w:val="single" w:sz="4" w:space="0" w:color="000000"/>
                    <w:left w:val="single" w:sz="4" w:space="0" w:color="000000"/>
                    <w:bottom w:val="single" w:sz="4" w:space="0" w:color="auto"/>
                    <w:right w:val="single" w:sz="4" w:space="0" w:color="000000"/>
                  </w:tcBorders>
                  <w:hideMark/>
                </w:tcPr>
                <w:p w:rsidR="00EA5224" w:rsidP="00EA5224">
                  <w:pPr>
                    <w:jc w:val="center"/>
                    <w:rPr>
                      <w:sz w:val="20"/>
                      <w:szCs w:val="20"/>
                    </w:rPr>
                  </w:pPr>
                  <w:r>
                    <w:rPr>
                      <w:sz w:val="20"/>
                      <w:szCs w:val="20"/>
                    </w:rPr>
                    <w:t>5</w:t>
                  </w:r>
                </w:p>
              </w:tc>
              <w:tc>
                <w:tcPr>
                  <w:tcW w:w="974" w:type="dxa"/>
                  <w:tcBorders>
                    <w:top w:val="single" w:sz="4" w:space="0" w:color="000000"/>
                    <w:left w:val="single" w:sz="4" w:space="0" w:color="000000"/>
                    <w:bottom w:val="single" w:sz="4" w:space="0" w:color="auto"/>
                    <w:right w:val="single" w:sz="4" w:space="0" w:color="000000"/>
                  </w:tcBorders>
                  <w:hideMark/>
                </w:tcPr>
                <w:p w:rsidR="00EA5224" w:rsidP="00EA5224">
                  <w:pPr>
                    <w:jc w:val="center"/>
                    <w:rPr>
                      <w:sz w:val="20"/>
                      <w:szCs w:val="20"/>
                    </w:rPr>
                  </w:pPr>
                  <w:r>
                    <w:rPr>
                      <w:sz w:val="20"/>
                      <w:szCs w:val="20"/>
                    </w:rPr>
                    <w:t>0</w:t>
                  </w:r>
                </w:p>
              </w:tc>
              <w:tc>
                <w:tcPr>
                  <w:tcW w:w="2285" w:type="dxa"/>
                  <w:tcBorders>
                    <w:top w:val="single" w:sz="4" w:space="0" w:color="000000"/>
                    <w:left w:val="single" w:sz="4" w:space="0" w:color="000000"/>
                    <w:bottom w:val="single" w:sz="4" w:space="0" w:color="auto"/>
                    <w:right w:val="single" w:sz="4" w:space="0" w:color="000000"/>
                  </w:tcBorders>
                  <w:hideMark/>
                </w:tcPr>
                <w:p w:rsidR="00EA5224" w:rsidP="00EA5224">
                  <w:pPr>
                    <w:jc w:val="center"/>
                    <w:rPr>
                      <w:sz w:val="20"/>
                      <w:szCs w:val="20"/>
                    </w:rPr>
                  </w:pPr>
                  <w:r>
                    <w:rPr>
                      <w:sz w:val="20"/>
                      <w:szCs w:val="20"/>
                    </w:rPr>
                    <w:t>15</w:t>
                  </w:r>
                </w:p>
              </w:tc>
            </w:tr>
            <w:tr w:rsidTr="00EA5224">
              <w:tblPrEx>
                <w:tblW w:w="9918" w:type="dxa"/>
                <w:tblLook w:val="04A0"/>
              </w:tblPrEx>
              <w:tc>
                <w:tcPr>
                  <w:tcW w:w="687" w:type="dxa"/>
                  <w:tcBorders>
                    <w:top w:val="nil"/>
                    <w:left w:val="nil"/>
                    <w:bottom w:val="single" w:sz="4" w:space="0" w:color="auto"/>
                    <w:right w:val="nil"/>
                  </w:tcBorders>
                  <w:textDirection w:val="btLr"/>
                </w:tcPr>
                <w:p w:rsidR="00EA5224" w:rsidP="00EA5224">
                  <w:pPr>
                    <w:ind w:left="360" w:right="113"/>
                    <w:jc w:val="center"/>
                    <w:rPr>
                      <w:b/>
                    </w:rPr>
                  </w:pPr>
                </w:p>
              </w:tc>
              <w:tc>
                <w:tcPr>
                  <w:tcW w:w="1242" w:type="dxa"/>
                  <w:tcBorders>
                    <w:top w:val="nil"/>
                    <w:left w:val="nil"/>
                    <w:bottom w:val="single" w:sz="4" w:space="0" w:color="auto"/>
                    <w:right w:val="nil"/>
                  </w:tcBorders>
                </w:tcPr>
                <w:p w:rsidR="00EA5224" w:rsidP="00EA5224">
                  <w:pPr>
                    <w:ind w:left="360"/>
                    <w:jc w:val="right"/>
                  </w:pPr>
                </w:p>
              </w:tc>
              <w:tc>
                <w:tcPr>
                  <w:tcW w:w="847" w:type="dxa"/>
                  <w:tcBorders>
                    <w:top w:val="nil"/>
                    <w:left w:val="nil"/>
                    <w:bottom w:val="single" w:sz="4" w:space="0" w:color="auto"/>
                    <w:right w:val="nil"/>
                  </w:tcBorders>
                </w:tcPr>
                <w:p w:rsidR="00EA5224" w:rsidP="00EA5224">
                  <w:pPr>
                    <w:ind w:left="360"/>
                    <w:jc w:val="center"/>
                  </w:pPr>
                </w:p>
              </w:tc>
              <w:tc>
                <w:tcPr>
                  <w:tcW w:w="985" w:type="dxa"/>
                  <w:tcBorders>
                    <w:top w:val="nil"/>
                    <w:left w:val="nil"/>
                    <w:bottom w:val="single" w:sz="4" w:space="0" w:color="auto"/>
                    <w:right w:val="nil"/>
                  </w:tcBorders>
                </w:tcPr>
                <w:p w:rsidR="00EA5224" w:rsidP="00EA5224">
                  <w:pPr>
                    <w:ind w:left="360"/>
                    <w:jc w:val="center"/>
                  </w:pPr>
                </w:p>
              </w:tc>
              <w:tc>
                <w:tcPr>
                  <w:tcW w:w="1303" w:type="dxa"/>
                  <w:gridSpan w:val="2"/>
                  <w:tcBorders>
                    <w:top w:val="nil"/>
                    <w:left w:val="nil"/>
                    <w:bottom w:val="single" w:sz="4" w:space="0" w:color="auto"/>
                    <w:right w:val="nil"/>
                  </w:tcBorders>
                </w:tcPr>
                <w:p w:rsidR="00EA5224" w:rsidP="00EA5224">
                  <w:pPr>
                    <w:ind w:left="360"/>
                  </w:pPr>
                </w:p>
              </w:tc>
              <w:tc>
                <w:tcPr>
                  <w:tcW w:w="4854" w:type="dxa"/>
                  <w:gridSpan w:val="3"/>
                  <w:tcBorders>
                    <w:top w:val="nil"/>
                    <w:left w:val="nil"/>
                    <w:bottom w:val="single" w:sz="4" w:space="0" w:color="auto"/>
                    <w:right w:val="nil"/>
                  </w:tcBorders>
                </w:tcPr>
                <w:p w:rsidR="00EA5224" w:rsidP="00EA5224">
                  <w:pPr>
                    <w:ind w:left="360"/>
                  </w:pPr>
                </w:p>
              </w:tc>
            </w:tr>
            <w:tr w:rsidTr="00EA5224">
              <w:tblPrEx>
                <w:tblW w:w="9918" w:type="dxa"/>
                <w:tblLook w:val="04A0"/>
              </w:tblPrEx>
              <w:tc>
                <w:tcPr>
                  <w:tcW w:w="687" w:type="dxa"/>
                  <w:tcBorders>
                    <w:top w:val="single" w:sz="4" w:space="0" w:color="auto"/>
                    <w:left w:val="single" w:sz="4" w:space="0" w:color="000000"/>
                    <w:bottom w:val="single" w:sz="4" w:space="0" w:color="000000"/>
                    <w:right w:val="single" w:sz="4" w:space="0" w:color="000000"/>
                  </w:tcBorders>
                  <w:textDirection w:val="btLr"/>
                </w:tcPr>
                <w:p w:rsidR="00EA5224" w:rsidP="00EA5224">
                  <w:pPr>
                    <w:ind w:left="360" w:right="113"/>
                    <w:jc w:val="center"/>
                    <w:rPr>
                      <w:b/>
                      <w:sz w:val="20"/>
                      <w:szCs w:val="20"/>
                    </w:rPr>
                  </w:pPr>
                </w:p>
              </w:tc>
              <w:tc>
                <w:tcPr>
                  <w:tcW w:w="1242" w:type="dxa"/>
                  <w:tcBorders>
                    <w:top w:val="single" w:sz="4" w:space="0" w:color="auto"/>
                    <w:left w:val="single" w:sz="4" w:space="0" w:color="000000"/>
                    <w:bottom w:val="single" w:sz="4" w:space="0" w:color="000000"/>
                    <w:right w:val="single" w:sz="4" w:space="0" w:color="000000"/>
                  </w:tcBorders>
                  <w:hideMark/>
                </w:tcPr>
                <w:p w:rsidR="00EA5224" w:rsidP="00EA5224">
                  <w:pPr>
                    <w:ind w:left="360"/>
                    <w:jc w:val="right"/>
                    <w:rPr>
                      <w:sz w:val="20"/>
                      <w:szCs w:val="20"/>
                    </w:rPr>
                  </w:pPr>
                  <w:r>
                    <w:rPr>
                      <w:sz w:val="20"/>
                      <w:szCs w:val="20"/>
                    </w:rPr>
                    <w:t>65-69</w:t>
                  </w:r>
                </w:p>
              </w:tc>
              <w:tc>
                <w:tcPr>
                  <w:tcW w:w="847" w:type="dxa"/>
                  <w:tcBorders>
                    <w:top w:val="single" w:sz="4" w:space="0" w:color="auto"/>
                    <w:left w:val="single" w:sz="4" w:space="0" w:color="000000"/>
                    <w:bottom w:val="single" w:sz="4" w:space="0" w:color="000000"/>
                    <w:right w:val="single" w:sz="4" w:space="0" w:color="000000"/>
                  </w:tcBorders>
                </w:tcPr>
                <w:p w:rsidR="00EA5224" w:rsidP="00EA5224">
                  <w:pPr>
                    <w:jc w:val="center"/>
                    <w:rPr>
                      <w:sz w:val="20"/>
                      <w:szCs w:val="20"/>
                    </w:rPr>
                  </w:pPr>
                </w:p>
              </w:tc>
              <w:tc>
                <w:tcPr>
                  <w:tcW w:w="985" w:type="dxa"/>
                  <w:tcBorders>
                    <w:top w:val="single" w:sz="4" w:space="0" w:color="auto"/>
                    <w:left w:val="single" w:sz="4" w:space="0" w:color="000000"/>
                    <w:bottom w:val="single" w:sz="4" w:space="0" w:color="000000"/>
                    <w:right w:val="single" w:sz="4" w:space="0" w:color="auto"/>
                  </w:tcBorders>
                  <w:hideMark/>
                </w:tcPr>
                <w:p w:rsidR="00EA5224" w:rsidP="00EA5224">
                  <w:pPr>
                    <w:ind w:left="360"/>
                    <w:rPr>
                      <w:sz w:val="20"/>
                      <w:szCs w:val="20"/>
                    </w:rPr>
                  </w:pPr>
                  <w:r>
                    <w:rPr>
                      <w:sz w:val="20"/>
                      <w:szCs w:val="20"/>
                    </w:rPr>
                    <w:t>1</w:t>
                  </w:r>
                </w:p>
              </w:tc>
              <w:tc>
                <w:tcPr>
                  <w:tcW w:w="687" w:type="dxa"/>
                  <w:tcBorders>
                    <w:top w:val="single" w:sz="4" w:space="0" w:color="auto"/>
                    <w:left w:val="single" w:sz="4" w:space="0" w:color="auto"/>
                    <w:bottom w:val="single" w:sz="4" w:space="0" w:color="000000"/>
                    <w:right w:val="single" w:sz="4" w:space="0" w:color="000000"/>
                  </w:tcBorders>
                  <w:textDirection w:val="btLr"/>
                  <w:vAlign w:val="center"/>
                </w:tcPr>
                <w:p w:rsidR="00EA5224" w:rsidP="00EA5224">
                  <w:pPr>
                    <w:ind w:left="360" w:right="113"/>
                    <w:jc w:val="center"/>
                    <w:rPr>
                      <w:b/>
                      <w:sz w:val="20"/>
                      <w:szCs w:val="20"/>
                    </w:rPr>
                  </w:pPr>
                </w:p>
              </w:tc>
              <w:tc>
                <w:tcPr>
                  <w:tcW w:w="3185" w:type="dxa"/>
                  <w:gridSpan w:val="3"/>
                  <w:tcBorders>
                    <w:top w:val="single" w:sz="4" w:space="0" w:color="auto"/>
                    <w:left w:val="single" w:sz="4" w:space="0" w:color="000000"/>
                    <w:bottom w:val="single" w:sz="4" w:space="0" w:color="000000"/>
                    <w:right w:val="single" w:sz="4" w:space="0" w:color="000000"/>
                  </w:tcBorders>
                  <w:hideMark/>
                </w:tcPr>
                <w:p w:rsidR="00EA5224" w:rsidP="00EA5224">
                  <w:pPr>
                    <w:ind w:left="360"/>
                    <w:jc w:val="center"/>
                    <w:rPr>
                      <w:sz w:val="20"/>
                      <w:szCs w:val="20"/>
                    </w:rPr>
                  </w:pPr>
                  <w:r>
                    <w:rPr>
                      <w:sz w:val="20"/>
                      <w:szCs w:val="20"/>
                    </w:rPr>
                    <w:t>&lt;1 year</w:t>
                  </w:r>
                </w:p>
              </w:tc>
              <w:tc>
                <w:tcPr>
                  <w:tcW w:w="2285" w:type="dxa"/>
                  <w:tcBorders>
                    <w:top w:val="single" w:sz="4" w:space="0" w:color="auto"/>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6</w:t>
                  </w:r>
                </w:p>
              </w:tc>
            </w:tr>
            <w:tr w:rsidTr="00EA5224">
              <w:tblPrEx>
                <w:tblW w:w="9918" w:type="dxa"/>
                <w:tblLook w:val="04A0"/>
              </w:tblPrEx>
              <w:tc>
                <w:tcPr>
                  <w:tcW w:w="687" w:type="dxa"/>
                  <w:vMerge w:val="restart"/>
                  <w:tcBorders>
                    <w:top w:val="single" w:sz="4" w:space="0" w:color="auto"/>
                    <w:left w:val="single" w:sz="4" w:space="0" w:color="000000"/>
                    <w:bottom w:val="single" w:sz="4" w:space="0" w:color="000000" w:themeColor="text1"/>
                    <w:right w:val="single" w:sz="4" w:space="0" w:color="000000"/>
                  </w:tcBorders>
                  <w:textDirection w:val="btLr"/>
                  <w:hideMark/>
                </w:tcPr>
                <w:p w:rsidR="00EA5224" w:rsidP="00EA5224">
                  <w:pPr>
                    <w:ind w:left="360" w:right="113"/>
                    <w:jc w:val="center"/>
                    <w:rPr>
                      <w:b/>
                      <w:sz w:val="20"/>
                      <w:szCs w:val="20"/>
                    </w:rPr>
                  </w:pPr>
                  <w:r>
                    <w:rPr>
                      <w:b/>
                      <w:sz w:val="20"/>
                      <w:szCs w:val="20"/>
                    </w:rPr>
                    <w:t>Age Group</w:t>
                  </w:r>
                </w:p>
              </w:tc>
              <w:tc>
                <w:tcPr>
                  <w:tcW w:w="1242" w:type="dxa"/>
                  <w:tcBorders>
                    <w:top w:val="single" w:sz="4" w:space="0" w:color="auto"/>
                    <w:left w:val="single" w:sz="4" w:space="0" w:color="000000"/>
                    <w:bottom w:val="single" w:sz="4" w:space="0" w:color="000000"/>
                    <w:right w:val="single" w:sz="4" w:space="0" w:color="000000"/>
                  </w:tcBorders>
                  <w:hideMark/>
                </w:tcPr>
                <w:p w:rsidR="00EA5224" w:rsidP="00EA5224">
                  <w:pPr>
                    <w:ind w:left="360"/>
                    <w:jc w:val="right"/>
                    <w:rPr>
                      <w:sz w:val="20"/>
                      <w:szCs w:val="20"/>
                    </w:rPr>
                  </w:pPr>
                  <w:r>
                    <w:rPr>
                      <w:sz w:val="20"/>
                      <w:szCs w:val="20"/>
                    </w:rPr>
                    <w:t>70-74</w:t>
                  </w:r>
                </w:p>
              </w:tc>
              <w:tc>
                <w:tcPr>
                  <w:tcW w:w="847" w:type="dxa"/>
                  <w:tcBorders>
                    <w:top w:val="single" w:sz="4" w:space="0" w:color="auto"/>
                    <w:left w:val="single" w:sz="4" w:space="0" w:color="000000"/>
                    <w:bottom w:val="single" w:sz="4" w:space="0" w:color="000000"/>
                    <w:right w:val="single" w:sz="4" w:space="0" w:color="000000"/>
                  </w:tcBorders>
                </w:tcPr>
                <w:p w:rsidR="00EA5224" w:rsidP="00EA5224">
                  <w:pPr>
                    <w:jc w:val="center"/>
                    <w:rPr>
                      <w:sz w:val="20"/>
                      <w:szCs w:val="20"/>
                    </w:rPr>
                  </w:pPr>
                </w:p>
              </w:tc>
              <w:tc>
                <w:tcPr>
                  <w:tcW w:w="985" w:type="dxa"/>
                  <w:tcBorders>
                    <w:top w:val="single" w:sz="4" w:space="0" w:color="auto"/>
                    <w:left w:val="single" w:sz="4" w:space="0" w:color="000000"/>
                    <w:bottom w:val="single" w:sz="4" w:space="0" w:color="000000"/>
                    <w:right w:val="single" w:sz="4" w:space="0" w:color="auto"/>
                  </w:tcBorders>
                </w:tcPr>
                <w:p w:rsidR="00EA5224" w:rsidP="00EA5224">
                  <w:pPr>
                    <w:ind w:left="360"/>
                    <w:rPr>
                      <w:sz w:val="20"/>
                      <w:szCs w:val="20"/>
                    </w:rPr>
                  </w:pPr>
                </w:p>
              </w:tc>
              <w:tc>
                <w:tcPr>
                  <w:tcW w:w="687" w:type="dxa"/>
                  <w:vMerge w:val="restart"/>
                  <w:tcBorders>
                    <w:top w:val="single" w:sz="4" w:space="0" w:color="auto"/>
                    <w:left w:val="single" w:sz="4" w:space="0" w:color="auto"/>
                    <w:bottom w:val="single" w:sz="4" w:space="0" w:color="000000"/>
                    <w:right w:val="single" w:sz="4" w:space="0" w:color="000000"/>
                  </w:tcBorders>
                  <w:textDirection w:val="btLr"/>
                  <w:vAlign w:val="center"/>
                  <w:hideMark/>
                </w:tcPr>
                <w:p w:rsidR="00EA5224" w:rsidP="00EA5224">
                  <w:pPr>
                    <w:ind w:left="360" w:right="113"/>
                    <w:jc w:val="center"/>
                    <w:rPr>
                      <w:b/>
                      <w:sz w:val="20"/>
                      <w:szCs w:val="20"/>
                    </w:rPr>
                  </w:pPr>
                  <w:r>
                    <w:rPr>
                      <w:b/>
                      <w:sz w:val="20"/>
                      <w:szCs w:val="20"/>
                    </w:rPr>
                    <w:t>Length of residency</w:t>
                  </w: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ind w:left="360"/>
                    <w:jc w:val="center"/>
                    <w:rPr>
                      <w:sz w:val="20"/>
                      <w:szCs w:val="20"/>
                    </w:rPr>
                  </w:pPr>
                  <w:r>
                    <w:rPr>
                      <w:sz w:val="20"/>
                      <w:szCs w:val="20"/>
                    </w:rPr>
                    <w:t>1 year &lt; 2 years</w:t>
                  </w:r>
                </w:p>
              </w:tc>
              <w:tc>
                <w:tcPr>
                  <w:tcW w:w="2285" w:type="dxa"/>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6</w:t>
                  </w:r>
                </w:p>
              </w:tc>
            </w:tr>
            <w:tr w:rsidTr="00EA5224">
              <w:tblPrEx>
                <w:tblW w:w="9918" w:type="dxa"/>
                <w:tblLook w:val="04A0"/>
              </w:tblPrEx>
              <w:tc>
                <w:tcPr>
                  <w:tcW w:w="0" w:type="auto"/>
                  <w:vMerge/>
                  <w:tcBorders>
                    <w:top w:val="single" w:sz="4" w:space="0" w:color="auto"/>
                    <w:left w:val="single" w:sz="4" w:space="0" w:color="000000"/>
                    <w:bottom w:val="single" w:sz="4" w:space="0" w:color="000000" w:themeColor="text1"/>
                    <w:right w:val="single" w:sz="4" w:space="0" w:color="000000"/>
                  </w:tcBorders>
                  <w:vAlign w:val="center"/>
                  <w:hideMark/>
                </w:tcPr>
                <w:p w:rsidR="00EA5224" w:rsidP="00EA5224">
                  <w:pPr>
                    <w:spacing w:after="0" w:line="240" w:lineRule="auto"/>
                    <w:rPr>
                      <w:b/>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EA5224" w:rsidP="00EA5224">
                  <w:pPr>
                    <w:jc w:val="right"/>
                    <w:rPr>
                      <w:sz w:val="20"/>
                      <w:szCs w:val="20"/>
                    </w:rPr>
                  </w:pPr>
                  <w:r>
                    <w:rPr>
                      <w:sz w:val="20"/>
                      <w:szCs w:val="20"/>
                    </w:rPr>
                    <w:t>75-79</w:t>
                  </w:r>
                </w:p>
              </w:tc>
              <w:tc>
                <w:tcPr>
                  <w:tcW w:w="847"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c>
                <w:tcPr>
                  <w:tcW w:w="985" w:type="dxa"/>
                  <w:tcBorders>
                    <w:top w:val="single" w:sz="4" w:space="0" w:color="000000"/>
                    <w:left w:val="single" w:sz="4" w:space="0" w:color="000000"/>
                    <w:bottom w:val="single" w:sz="4" w:space="0" w:color="000000"/>
                    <w:right w:val="single" w:sz="4" w:space="0" w:color="auto"/>
                  </w:tcBorders>
                  <w:hideMark/>
                </w:tcPr>
                <w:p w:rsidR="00EA5224" w:rsidP="00EA5224">
                  <w:pPr>
                    <w:jc w:val="center"/>
                    <w:rPr>
                      <w:sz w:val="20"/>
                      <w:szCs w:val="20"/>
                    </w:rPr>
                  </w:pPr>
                  <w:r>
                    <w:rPr>
                      <w:sz w:val="20"/>
                      <w:szCs w:val="20"/>
                    </w:rPr>
                    <w:t>4</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2 years &lt; 3 years</w:t>
                  </w: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r>
            <w:tr w:rsidTr="00EA5224">
              <w:tblPrEx>
                <w:tblW w:w="9918" w:type="dxa"/>
                <w:tblLook w:val="04A0"/>
              </w:tblPrEx>
              <w:tc>
                <w:tcPr>
                  <w:tcW w:w="0" w:type="auto"/>
                  <w:vMerge/>
                  <w:tcBorders>
                    <w:top w:val="single" w:sz="4" w:space="0" w:color="auto"/>
                    <w:left w:val="single" w:sz="4" w:space="0" w:color="000000"/>
                    <w:bottom w:val="single" w:sz="4" w:space="0" w:color="000000" w:themeColor="text1"/>
                    <w:right w:val="single" w:sz="4" w:space="0" w:color="000000"/>
                  </w:tcBorders>
                  <w:vAlign w:val="center"/>
                  <w:hideMark/>
                </w:tcPr>
                <w:p w:rsidR="00EA5224" w:rsidP="00EA5224">
                  <w:pPr>
                    <w:spacing w:after="0" w:line="240" w:lineRule="auto"/>
                    <w:rPr>
                      <w:b/>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EA5224" w:rsidP="00EA5224">
                  <w:pPr>
                    <w:jc w:val="right"/>
                    <w:rPr>
                      <w:sz w:val="20"/>
                      <w:szCs w:val="20"/>
                    </w:rPr>
                  </w:pPr>
                  <w:r>
                    <w:rPr>
                      <w:sz w:val="20"/>
                      <w:szCs w:val="20"/>
                    </w:rPr>
                    <w:t>80-84</w:t>
                  </w:r>
                </w:p>
              </w:tc>
              <w:tc>
                <w:tcPr>
                  <w:tcW w:w="847"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c>
                <w:tcPr>
                  <w:tcW w:w="985" w:type="dxa"/>
                  <w:tcBorders>
                    <w:top w:val="single" w:sz="4" w:space="0" w:color="000000"/>
                    <w:left w:val="single" w:sz="4" w:space="0" w:color="000000"/>
                    <w:bottom w:val="single" w:sz="4" w:space="0" w:color="000000"/>
                    <w:right w:val="single" w:sz="4" w:space="0" w:color="auto"/>
                  </w:tcBorders>
                  <w:hideMark/>
                </w:tcPr>
                <w:p w:rsidR="00EA5224" w:rsidP="00EA5224">
                  <w:pPr>
                    <w:jc w:val="center"/>
                    <w:rPr>
                      <w:sz w:val="20"/>
                      <w:szCs w:val="20"/>
                    </w:rPr>
                  </w:pPr>
                  <w:r>
                    <w:rPr>
                      <w:sz w:val="20"/>
                      <w:szCs w:val="20"/>
                    </w:rPr>
                    <w:t>5</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3 years &lt; 4 years</w:t>
                  </w:r>
                </w:p>
              </w:tc>
              <w:tc>
                <w:tcPr>
                  <w:tcW w:w="2285" w:type="dxa"/>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1</w:t>
                  </w:r>
                </w:p>
              </w:tc>
            </w:tr>
            <w:tr w:rsidTr="00EA5224">
              <w:tblPrEx>
                <w:tblW w:w="9918" w:type="dxa"/>
                <w:tblLook w:val="04A0"/>
              </w:tblPrEx>
              <w:tc>
                <w:tcPr>
                  <w:tcW w:w="0" w:type="auto"/>
                  <w:vMerge/>
                  <w:tcBorders>
                    <w:top w:val="single" w:sz="4" w:space="0" w:color="auto"/>
                    <w:left w:val="single" w:sz="4" w:space="0" w:color="000000"/>
                    <w:bottom w:val="single" w:sz="4" w:space="0" w:color="000000" w:themeColor="text1"/>
                    <w:right w:val="single" w:sz="4" w:space="0" w:color="000000"/>
                  </w:tcBorders>
                  <w:vAlign w:val="center"/>
                  <w:hideMark/>
                </w:tcPr>
                <w:p w:rsidR="00EA5224" w:rsidP="00EA5224">
                  <w:pPr>
                    <w:spacing w:after="0" w:line="240" w:lineRule="auto"/>
                    <w:rPr>
                      <w:b/>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EA5224" w:rsidP="00EA5224">
                  <w:pPr>
                    <w:jc w:val="right"/>
                    <w:rPr>
                      <w:sz w:val="20"/>
                      <w:szCs w:val="20"/>
                    </w:rPr>
                  </w:pPr>
                  <w:r>
                    <w:rPr>
                      <w:sz w:val="20"/>
                      <w:szCs w:val="20"/>
                    </w:rPr>
                    <w:t>85-89</w:t>
                  </w:r>
                </w:p>
              </w:tc>
              <w:tc>
                <w:tcPr>
                  <w:tcW w:w="847"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c>
                <w:tcPr>
                  <w:tcW w:w="985" w:type="dxa"/>
                  <w:tcBorders>
                    <w:top w:val="single" w:sz="4" w:space="0" w:color="000000"/>
                    <w:left w:val="single" w:sz="4" w:space="0" w:color="000000"/>
                    <w:bottom w:val="single" w:sz="4" w:space="0" w:color="000000"/>
                    <w:right w:val="single" w:sz="4" w:space="0" w:color="auto"/>
                  </w:tcBorders>
                </w:tcPr>
                <w:p w:rsidR="00EA5224" w:rsidP="00EA5224">
                  <w:pPr>
                    <w:jc w:val="center"/>
                    <w:rPr>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4 years &lt; 5 years</w:t>
                  </w: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r>
            <w:tr w:rsidTr="00EA5224">
              <w:tblPrEx>
                <w:tblW w:w="9918" w:type="dxa"/>
                <w:tblLook w:val="04A0"/>
              </w:tblPrEx>
              <w:trPr>
                <w:trHeight w:val="187"/>
              </w:trPr>
              <w:tc>
                <w:tcPr>
                  <w:tcW w:w="0" w:type="auto"/>
                  <w:vMerge/>
                  <w:tcBorders>
                    <w:top w:val="single" w:sz="4" w:space="0" w:color="auto"/>
                    <w:left w:val="single" w:sz="4" w:space="0" w:color="000000"/>
                    <w:bottom w:val="single" w:sz="4" w:space="0" w:color="000000" w:themeColor="text1"/>
                    <w:right w:val="single" w:sz="4" w:space="0" w:color="000000"/>
                  </w:tcBorders>
                  <w:vAlign w:val="center"/>
                  <w:hideMark/>
                </w:tcPr>
                <w:p w:rsidR="00EA5224" w:rsidP="00EA5224">
                  <w:pPr>
                    <w:spacing w:after="0" w:line="240" w:lineRule="auto"/>
                    <w:rPr>
                      <w:b/>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EA5224" w:rsidP="00EA5224">
                  <w:pPr>
                    <w:jc w:val="right"/>
                    <w:rPr>
                      <w:sz w:val="20"/>
                      <w:szCs w:val="20"/>
                    </w:rPr>
                  </w:pPr>
                  <w:r>
                    <w:rPr>
                      <w:sz w:val="20"/>
                      <w:szCs w:val="20"/>
                    </w:rPr>
                    <w:t>90-94</w:t>
                  </w:r>
                </w:p>
              </w:tc>
              <w:tc>
                <w:tcPr>
                  <w:tcW w:w="847"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c>
                <w:tcPr>
                  <w:tcW w:w="985" w:type="dxa"/>
                  <w:tcBorders>
                    <w:top w:val="single" w:sz="4" w:space="0" w:color="000000"/>
                    <w:left w:val="single" w:sz="4" w:space="0" w:color="000000"/>
                    <w:bottom w:val="single" w:sz="4" w:space="0" w:color="000000"/>
                    <w:right w:val="single" w:sz="4" w:space="0" w:color="auto"/>
                  </w:tcBorders>
                  <w:hideMark/>
                </w:tcPr>
                <w:p w:rsidR="00EA5224" w:rsidP="00EA5224">
                  <w:pPr>
                    <w:jc w:val="center"/>
                    <w:rPr>
                      <w:sz w:val="20"/>
                      <w:szCs w:val="20"/>
                    </w:rPr>
                  </w:pPr>
                  <w:r>
                    <w:rPr>
                      <w:sz w:val="20"/>
                      <w:szCs w:val="20"/>
                    </w:rPr>
                    <w:t>3</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5 years &lt; 6 years</w:t>
                  </w: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r>
            <w:tr w:rsidTr="00EA5224">
              <w:tblPrEx>
                <w:tblW w:w="9918" w:type="dxa"/>
                <w:tblLook w:val="04A0"/>
              </w:tblPrEx>
              <w:tc>
                <w:tcPr>
                  <w:tcW w:w="0" w:type="auto"/>
                  <w:vMerge/>
                  <w:tcBorders>
                    <w:top w:val="single" w:sz="4" w:space="0" w:color="auto"/>
                    <w:left w:val="single" w:sz="4" w:space="0" w:color="000000"/>
                    <w:bottom w:val="single" w:sz="4" w:space="0" w:color="000000" w:themeColor="text1"/>
                    <w:right w:val="single" w:sz="4" w:space="0" w:color="000000"/>
                  </w:tcBorders>
                  <w:vAlign w:val="center"/>
                  <w:hideMark/>
                </w:tcPr>
                <w:p w:rsidR="00EA5224" w:rsidP="00EA5224">
                  <w:pPr>
                    <w:spacing w:after="0" w:line="240" w:lineRule="auto"/>
                    <w:rPr>
                      <w:b/>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EA5224" w:rsidP="00EA5224">
                  <w:pPr>
                    <w:jc w:val="right"/>
                    <w:rPr>
                      <w:sz w:val="20"/>
                      <w:szCs w:val="20"/>
                    </w:rPr>
                  </w:pPr>
                  <w:r>
                    <w:rPr>
                      <w:sz w:val="20"/>
                      <w:szCs w:val="20"/>
                    </w:rPr>
                    <w:t>95-99</w:t>
                  </w:r>
                </w:p>
              </w:tc>
              <w:tc>
                <w:tcPr>
                  <w:tcW w:w="847"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c>
                <w:tcPr>
                  <w:tcW w:w="985" w:type="dxa"/>
                  <w:tcBorders>
                    <w:top w:val="single" w:sz="4" w:space="0" w:color="000000"/>
                    <w:left w:val="single" w:sz="4" w:space="0" w:color="000000"/>
                    <w:bottom w:val="single" w:sz="4" w:space="0" w:color="000000"/>
                    <w:right w:val="single" w:sz="4" w:space="0" w:color="auto"/>
                  </w:tcBorders>
                  <w:hideMark/>
                </w:tcPr>
                <w:p w:rsidR="00EA5224" w:rsidP="00EA5224">
                  <w:pPr>
                    <w:jc w:val="center"/>
                    <w:rPr>
                      <w:sz w:val="20"/>
                      <w:szCs w:val="20"/>
                    </w:rPr>
                  </w:pPr>
                  <w:r>
                    <w:rPr>
                      <w:sz w:val="20"/>
                      <w:szCs w:val="20"/>
                    </w:rPr>
                    <w:t>2</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6 years &lt; 7 years</w:t>
                  </w: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r>
            <w:tr w:rsidTr="00EA5224">
              <w:tblPrEx>
                <w:tblW w:w="9918" w:type="dxa"/>
                <w:tblLook w:val="04A0"/>
              </w:tblPrEx>
              <w:tc>
                <w:tcPr>
                  <w:tcW w:w="0" w:type="auto"/>
                  <w:vMerge/>
                  <w:tcBorders>
                    <w:top w:val="single" w:sz="4" w:space="0" w:color="auto"/>
                    <w:left w:val="single" w:sz="4" w:space="0" w:color="000000"/>
                    <w:bottom w:val="single" w:sz="4" w:space="0" w:color="000000" w:themeColor="text1"/>
                    <w:right w:val="single" w:sz="4" w:space="0" w:color="000000"/>
                  </w:tcBorders>
                  <w:vAlign w:val="center"/>
                  <w:hideMark/>
                </w:tcPr>
                <w:p w:rsidR="00EA5224" w:rsidP="00EA5224">
                  <w:pPr>
                    <w:spacing w:after="0" w:line="240" w:lineRule="auto"/>
                    <w:rPr>
                      <w:b/>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EA5224" w:rsidP="00EA5224">
                  <w:pPr>
                    <w:jc w:val="right"/>
                    <w:rPr>
                      <w:sz w:val="20"/>
                      <w:szCs w:val="20"/>
                    </w:rPr>
                  </w:pPr>
                  <w:r>
                    <w:rPr>
                      <w:sz w:val="20"/>
                      <w:szCs w:val="20"/>
                    </w:rPr>
                    <w:t>100-104</w:t>
                  </w:r>
                </w:p>
              </w:tc>
              <w:tc>
                <w:tcPr>
                  <w:tcW w:w="847"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c>
                <w:tcPr>
                  <w:tcW w:w="985" w:type="dxa"/>
                  <w:tcBorders>
                    <w:top w:val="single" w:sz="4" w:space="0" w:color="000000"/>
                    <w:left w:val="single" w:sz="4" w:space="0" w:color="000000"/>
                    <w:bottom w:val="single" w:sz="4" w:space="0" w:color="000000"/>
                    <w:right w:val="single" w:sz="4" w:space="0" w:color="auto"/>
                  </w:tcBorders>
                </w:tcPr>
                <w:p w:rsidR="00EA5224" w:rsidP="00EA5224">
                  <w:pPr>
                    <w:jc w:val="center"/>
                    <w:rPr>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7 years &lt; 8 years</w:t>
                  </w: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r>
            <w:tr w:rsidTr="00EA5224">
              <w:tblPrEx>
                <w:tblW w:w="9918" w:type="dxa"/>
                <w:tblLook w:val="04A0"/>
              </w:tblPrEx>
              <w:tc>
                <w:tcPr>
                  <w:tcW w:w="0" w:type="auto"/>
                  <w:vMerge/>
                  <w:tcBorders>
                    <w:top w:val="single" w:sz="4" w:space="0" w:color="auto"/>
                    <w:left w:val="single" w:sz="4" w:space="0" w:color="000000"/>
                    <w:bottom w:val="single" w:sz="4" w:space="0" w:color="000000" w:themeColor="text1"/>
                    <w:right w:val="single" w:sz="4" w:space="0" w:color="000000"/>
                  </w:tcBorders>
                  <w:vAlign w:val="center"/>
                  <w:hideMark/>
                </w:tcPr>
                <w:p w:rsidR="00EA5224" w:rsidP="00EA5224">
                  <w:pPr>
                    <w:spacing w:after="0" w:line="240" w:lineRule="auto"/>
                    <w:rPr>
                      <w:b/>
                      <w:sz w:val="20"/>
                      <w:szCs w:val="20"/>
                    </w:rPr>
                  </w:pPr>
                </w:p>
              </w:tc>
              <w:tc>
                <w:tcPr>
                  <w:tcW w:w="1242" w:type="dxa"/>
                  <w:tcBorders>
                    <w:top w:val="single" w:sz="4" w:space="0" w:color="000000"/>
                    <w:left w:val="single" w:sz="4" w:space="0" w:color="000000"/>
                    <w:bottom w:val="single" w:sz="4" w:space="0" w:color="000000" w:themeColor="text1"/>
                    <w:right w:val="single" w:sz="4" w:space="0" w:color="000000"/>
                  </w:tcBorders>
                  <w:hideMark/>
                </w:tcPr>
                <w:p w:rsidR="00EA5224" w:rsidP="00EA5224">
                  <w:pPr>
                    <w:jc w:val="center"/>
                    <w:rPr>
                      <w:sz w:val="20"/>
                      <w:szCs w:val="20"/>
                    </w:rPr>
                  </w:pPr>
                  <w:r>
                    <w:rPr>
                      <w:sz w:val="20"/>
                      <w:szCs w:val="20"/>
                    </w:rPr>
                    <w:t>Sub Total</w:t>
                  </w:r>
                </w:p>
              </w:tc>
              <w:tc>
                <w:tcPr>
                  <w:tcW w:w="847" w:type="dxa"/>
                  <w:tcBorders>
                    <w:top w:val="single" w:sz="4" w:space="0" w:color="000000"/>
                    <w:left w:val="single" w:sz="4" w:space="0" w:color="000000"/>
                    <w:bottom w:val="single" w:sz="4" w:space="0" w:color="000000" w:themeColor="text1"/>
                    <w:right w:val="single" w:sz="4" w:space="0" w:color="000000"/>
                  </w:tcBorders>
                </w:tcPr>
                <w:p w:rsidR="00EA5224" w:rsidP="00EA5224">
                  <w:pPr>
                    <w:jc w:val="center"/>
                    <w:rPr>
                      <w:sz w:val="20"/>
                      <w:szCs w:val="20"/>
                    </w:rPr>
                  </w:pPr>
                </w:p>
              </w:tc>
              <w:tc>
                <w:tcPr>
                  <w:tcW w:w="985" w:type="dxa"/>
                  <w:tcBorders>
                    <w:top w:val="single" w:sz="4" w:space="0" w:color="000000"/>
                    <w:left w:val="single" w:sz="4" w:space="0" w:color="000000"/>
                    <w:bottom w:val="single" w:sz="4" w:space="0" w:color="000000" w:themeColor="text1"/>
                    <w:right w:val="single" w:sz="4" w:space="0" w:color="auto"/>
                  </w:tcBorders>
                  <w:hideMark/>
                </w:tcPr>
                <w:p w:rsidR="00EA5224" w:rsidP="00EA5224">
                  <w:pPr>
                    <w:jc w:val="center"/>
                    <w:rPr>
                      <w:sz w:val="20"/>
                      <w:szCs w:val="20"/>
                    </w:rPr>
                  </w:pPr>
                  <w:r>
                    <w:rPr>
                      <w:sz w:val="20"/>
                      <w:szCs w:val="20"/>
                    </w:rPr>
                    <w:t>15</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8 years &lt; 9 years</w:t>
                  </w: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r>
            <w:tr w:rsidTr="00EA5224">
              <w:tblPrEx>
                <w:tblW w:w="9918" w:type="dxa"/>
                <w:tblLook w:val="04A0"/>
              </w:tblPrEx>
              <w:tc>
                <w:tcPr>
                  <w:tcW w:w="1929" w:type="dxa"/>
                  <w:gridSpan w:val="2"/>
                  <w:vMerge w:val="restart"/>
                  <w:tcBorders>
                    <w:top w:val="single" w:sz="4" w:space="0" w:color="000000"/>
                    <w:left w:val="single" w:sz="4" w:space="0" w:color="000000"/>
                    <w:bottom w:val="single" w:sz="4" w:space="0" w:color="auto"/>
                    <w:right w:val="single" w:sz="4" w:space="0" w:color="000000"/>
                  </w:tcBorders>
                  <w:hideMark/>
                </w:tcPr>
                <w:p w:rsidR="00EA5224" w:rsidP="00EA5224">
                  <w:pPr>
                    <w:jc w:val="right"/>
                    <w:rPr>
                      <w:b/>
                      <w:sz w:val="20"/>
                      <w:szCs w:val="20"/>
                    </w:rPr>
                  </w:pPr>
                  <w:r>
                    <w:rPr>
                      <w:b/>
                      <w:sz w:val="20"/>
                      <w:szCs w:val="20"/>
                    </w:rPr>
                    <w:t>Total Number of</w:t>
                  </w:r>
                </w:p>
                <w:p w:rsidR="00EA5224" w:rsidP="00EA5224">
                  <w:pPr>
                    <w:jc w:val="right"/>
                    <w:rPr>
                      <w:b/>
                      <w:sz w:val="20"/>
                      <w:szCs w:val="20"/>
                    </w:rPr>
                  </w:pPr>
                  <w:r>
                    <w:rPr>
                      <w:b/>
                      <w:sz w:val="20"/>
                      <w:szCs w:val="20"/>
                    </w:rPr>
                    <w:t>Residents</w:t>
                  </w:r>
                </w:p>
              </w:tc>
              <w:tc>
                <w:tcPr>
                  <w:tcW w:w="1832" w:type="dxa"/>
                  <w:gridSpan w:val="2"/>
                  <w:vMerge w:val="restart"/>
                  <w:tcBorders>
                    <w:top w:val="single" w:sz="4" w:space="0" w:color="000000"/>
                    <w:left w:val="single" w:sz="4" w:space="0" w:color="000000"/>
                    <w:bottom w:val="single" w:sz="4" w:space="0" w:color="auto"/>
                    <w:right w:val="single" w:sz="4" w:space="0" w:color="auto"/>
                  </w:tcBorders>
                  <w:hideMark/>
                </w:tcPr>
                <w:p w:rsidR="00EA5224" w:rsidP="00EA5224">
                  <w:pPr>
                    <w:jc w:val="center"/>
                    <w:rPr>
                      <w:b/>
                      <w:sz w:val="20"/>
                      <w:szCs w:val="20"/>
                    </w:rPr>
                  </w:pPr>
                  <w:r>
                    <w:rPr>
                      <w:b/>
                      <w:sz w:val="20"/>
                      <w:szCs w:val="20"/>
                    </w:rPr>
                    <w:t>15</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9 years &lt; 10 years</w:t>
                  </w: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r>
            <w:tr w:rsidTr="00EA5224">
              <w:tblPrEx>
                <w:tblW w:w="9918" w:type="dxa"/>
                <w:tblLook w:val="04A0"/>
              </w:tblPrEx>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EA5224" w:rsidP="00EA5224">
                  <w:pPr>
                    <w:spacing w:after="0" w:line="240" w:lineRule="auto"/>
                    <w:rPr>
                      <w:b/>
                      <w:sz w:val="20"/>
                      <w:szCs w:val="20"/>
                    </w:rPr>
                  </w:pPr>
                </w:p>
              </w:tc>
              <w:tc>
                <w:tcPr>
                  <w:tcW w:w="0" w:type="auto"/>
                  <w:gridSpan w:val="2"/>
                  <w:vMerge/>
                  <w:tcBorders>
                    <w:top w:val="single" w:sz="4" w:space="0" w:color="000000"/>
                    <w:left w:val="single" w:sz="4" w:space="0" w:color="000000"/>
                    <w:bottom w:val="single" w:sz="4" w:space="0" w:color="auto"/>
                    <w:right w:val="single" w:sz="4" w:space="0" w:color="auto"/>
                  </w:tcBorders>
                  <w:vAlign w:val="center"/>
                  <w:hideMark/>
                </w:tcPr>
                <w:p w:rsidR="00EA5224" w:rsidP="00EA5224">
                  <w:pPr>
                    <w:spacing w:after="0" w:line="240" w:lineRule="auto"/>
                    <w:rPr>
                      <w:b/>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10 years &lt; 11 years</w:t>
                  </w:r>
                </w:p>
              </w:tc>
              <w:tc>
                <w:tcPr>
                  <w:tcW w:w="2285" w:type="dxa"/>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1</w:t>
                  </w:r>
                </w:p>
              </w:tc>
            </w:tr>
            <w:tr w:rsidTr="00EA5224">
              <w:tblPrEx>
                <w:tblW w:w="9918" w:type="dxa"/>
                <w:tblLook w:val="04A0"/>
              </w:tblPrEx>
              <w:tc>
                <w:tcPr>
                  <w:tcW w:w="687" w:type="dxa"/>
                  <w:tcBorders>
                    <w:top w:val="single" w:sz="4" w:space="0" w:color="auto"/>
                    <w:left w:val="nil"/>
                    <w:bottom w:val="nil"/>
                    <w:right w:val="nil"/>
                  </w:tcBorders>
                </w:tcPr>
                <w:p w:rsidR="00EA5224" w:rsidP="00EA5224">
                  <w:pPr>
                    <w:rPr>
                      <w:sz w:val="20"/>
                      <w:szCs w:val="20"/>
                    </w:rPr>
                  </w:pPr>
                </w:p>
              </w:tc>
              <w:tc>
                <w:tcPr>
                  <w:tcW w:w="1242" w:type="dxa"/>
                  <w:tcBorders>
                    <w:top w:val="single" w:sz="4" w:space="0" w:color="auto"/>
                    <w:left w:val="nil"/>
                    <w:bottom w:val="nil"/>
                    <w:right w:val="nil"/>
                  </w:tcBorders>
                </w:tcPr>
                <w:p w:rsidR="00EA5224" w:rsidP="00EA5224">
                  <w:pPr>
                    <w:jc w:val="right"/>
                    <w:rPr>
                      <w:sz w:val="20"/>
                      <w:szCs w:val="20"/>
                    </w:rPr>
                  </w:pPr>
                </w:p>
              </w:tc>
              <w:tc>
                <w:tcPr>
                  <w:tcW w:w="847" w:type="dxa"/>
                  <w:tcBorders>
                    <w:top w:val="single" w:sz="4" w:space="0" w:color="auto"/>
                    <w:left w:val="nil"/>
                    <w:bottom w:val="nil"/>
                    <w:right w:val="nil"/>
                  </w:tcBorders>
                </w:tcPr>
                <w:p w:rsidR="00EA5224" w:rsidP="00EA5224">
                  <w:pPr>
                    <w:jc w:val="center"/>
                    <w:rPr>
                      <w:sz w:val="20"/>
                      <w:szCs w:val="20"/>
                    </w:rPr>
                  </w:pPr>
                </w:p>
              </w:tc>
              <w:tc>
                <w:tcPr>
                  <w:tcW w:w="985" w:type="dxa"/>
                  <w:tcBorders>
                    <w:top w:val="single" w:sz="4" w:space="0" w:color="auto"/>
                    <w:left w:val="nil"/>
                    <w:bottom w:val="nil"/>
                    <w:right w:val="single" w:sz="4" w:space="0" w:color="auto"/>
                  </w:tcBorders>
                </w:tcPr>
                <w:p w:rsidR="00EA5224" w:rsidP="00EA5224">
                  <w:pPr>
                    <w:jc w:val="center"/>
                    <w:rPr>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11 years &lt; 12 years</w:t>
                  </w: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r>
            <w:tr w:rsidTr="00EA5224">
              <w:tblPrEx>
                <w:tblW w:w="9918" w:type="dxa"/>
                <w:tblLook w:val="04A0"/>
              </w:tblPrEx>
              <w:tc>
                <w:tcPr>
                  <w:tcW w:w="687" w:type="dxa"/>
                  <w:tcBorders>
                    <w:top w:val="nil"/>
                    <w:left w:val="nil"/>
                    <w:bottom w:val="nil"/>
                    <w:right w:val="nil"/>
                  </w:tcBorders>
                </w:tcPr>
                <w:p w:rsidR="00EA5224" w:rsidP="00EA5224">
                  <w:pPr>
                    <w:rPr>
                      <w:sz w:val="20"/>
                      <w:szCs w:val="20"/>
                    </w:rPr>
                  </w:pPr>
                </w:p>
              </w:tc>
              <w:tc>
                <w:tcPr>
                  <w:tcW w:w="1242" w:type="dxa"/>
                  <w:tcBorders>
                    <w:top w:val="nil"/>
                    <w:left w:val="nil"/>
                    <w:bottom w:val="nil"/>
                    <w:right w:val="nil"/>
                  </w:tcBorders>
                </w:tcPr>
                <w:p w:rsidR="00EA5224" w:rsidP="00EA5224">
                  <w:pPr>
                    <w:jc w:val="right"/>
                    <w:rPr>
                      <w:sz w:val="20"/>
                      <w:szCs w:val="20"/>
                    </w:rPr>
                  </w:pPr>
                </w:p>
              </w:tc>
              <w:tc>
                <w:tcPr>
                  <w:tcW w:w="847" w:type="dxa"/>
                  <w:tcBorders>
                    <w:top w:val="nil"/>
                    <w:left w:val="nil"/>
                    <w:bottom w:val="nil"/>
                    <w:right w:val="nil"/>
                  </w:tcBorders>
                </w:tcPr>
                <w:p w:rsidR="00EA5224" w:rsidP="00EA5224">
                  <w:pPr>
                    <w:jc w:val="center"/>
                    <w:rPr>
                      <w:sz w:val="20"/>
                      <w:szCs w:val="20"/>
                    </w:rPr>
                  </w:pPr>
                </w:p>
              </w:tc>
              <w:tc>
                <w:tcPr>
                  <w:tcW w:w="985" w:type="dxa"/>
                  <w:tcBorders>
                    <w:top w:val="nil"/>
                    <w:left w:val="nil"/>
                    <w:bottom w:val="nil"/>
                    <w:right w:val="single" w:sz="4" w:space="0" w:color="auto"/>
                  </w:tcBorders>
                </w:tcPr>
                <w:p w:rsidR="00EA5224" w:rsidP="00EA5224">
                  <w:pPr>
                    <w:jc w:val="center"/>
                    <w:rPr>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12 years &lt; 13 years</w:t>
                  </w:r>
                </w:p>
              </w:tc>
              <w:tc>
                <w:tcPr>
                  <w:tcW w:w="2285" w:type="dxa"/>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1</w:t>
                  </w:r>
                </w:p>
              </w:tc>
            </w:tr>
            <w:tr w:rsidTr="00EA5224">
              <w:tblPrEx>
                <w:tblW w:w="9918" w:type="dxa"/>
                <w:tblLook w:val="04A0"/>
              </w:tblPrEx>
              <w:tc>
                <w:tcPr>
                  <w:tcW w:w="687" w:type="dxa"/>
                  <w:tcBorders>
                    <w:top w:val="nil"/>
                    <w:left w:val="nil"/>
                    <w:bottom w:val="nil"/>
                    <w:right w:val="nil"/>
                  </w:tcBorders>
                </w:tcPr>
                <w:p w:rsidR="00EA5224" w:rsidP="00EA5224">
                  <w:pPr>
                    <w:rPr>
                      <w:sz w:val="20"/>
                      <w:szCs w:val="20"/>
                    </w:rPr>
                  </w:pPr>
                </w:p>
              </w:tc>
              <w:tc>
                <w:tcPr>
                  <w:tcW w:w="1242" w:type="dxa"/>
                  <w:tcBorders>
                    <w:top w:val="nil"/>
                    <w:left w:val="nil"/>
                    <w:bottom w:val="nil"/>
                    <w:right w:val="nil"/>
                  </w:tcBorders>
                </w:tcPr>
                <w:p w:rsidR="00EA5224" w:rsidP="00EA5224">
                  <w:pPr>
                    <w:jc w:val="right"/>
                    <w:rPr>
                      <w:sz w:val="20"/>
                      <w:szCs w:val="20"/>
                    </w:rPr>
                  </w:pPr>
                </w:p>
              </w:tc>
              <w:tc>
                <w:tcPr>
                  <w:tcW w:w="847" w:type="dxa"/>
                  <w:tcBorders>
                    <w:top w:val="nil"/>
                    <w:left w:val="nil"/>
                    <w:bottom w:val="nil"/>
                    <w:right w:val="nil"/>
                  </w:tcBorders>
                </w:tcPr>
                <w:p w:rsidR="00EA5224" w:rsidP="00EA5224">
                  <w:pPr>
                    <w:jc w:val="center"/>
                    <w:rPr>
                      <w:sz w:val="20"/>
                      <w:szCs w:val="20"/>
                    </w:rPr>
                  </w:pPr>
                </w:p>
              </w:tc>
              <w:tc>
                <w:tcPr>
                  <w:tcW w:w="985" w:type="dxa"/>
                  <w:tcBorders>
                    <w:top w:val="nil"/>
                    <w:left w:val="nil"/>
                    <w:bottom w:val="nil"/>
                    <w:right w:val="single" w:sz="4" w:space="0" w:color="auto"/>
                  </w:tcBorders>
                </w:tcPr>
                <w:p w:rsidR="00EA5224" w:rsidP="00EA5224">
                  <w:pPr>
                    <w:jc w:val="center"/>
                    <w:rPr>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sz w:val="20"/>
                      <w:szCs w:val="20"/>
                    </w:rPr>
                  </w:pPr>
                </w:p>
              </w:tc>
            </w:tr>
            <w:tr w:rsidTr="00EA5224">
              <w:tblPrEx>
                <w:tblW w:w="9918" w:type="dxa"/>
                <w:tblLook w:val="04A0"/>
              </w:tblPrEx>
              <w:tc>
                <w:tcPr>
                  <w:tcW w:w="687" w:type="dxa"/>
                  <w:tcBorders>
                    <w:top w:val="nil"/>
                    <w:left w:val="nil"/>
                    <w:bottom w:val="nil"/>
                    <w:right w:val="nil"/>
                  </w:tcBorders>
                </w:tcPr>
                <w:p w:rsidR="00EA5224" w:rsidP="00EA5224">
                  <w:pPr>
                    <w:rPr>
                      <w:sz w:val="20"/>
                      <w:szCs w:val="20"/>
                    </w:rPr>
                  </w:pPr>
                </w:p>
              </w:tc>
              <w:tc>
                <w:tcPr>
                  <w:tcW w:w="1242" w:type="dxa"/>
                  <w:tcBorders>
                    <w:top w:val="nil"/>
                    <w:left w:val="nil"/>
                    <w:bottom w:val="nil"/>
                    <w:right w:val="nil"/>
                  </w:tcBorders>
                </w:tcPr>
                <w:p w:rsidR="00EA5224" w:rsidP="00EA5224">
                  <w:pPr>
                    <w:jc w:val="right"/>
                    <w:rPr>
                      <w:sz w:val="20"/>
                      <w:szCs w:val="20"/>
                    </w:rPr>
                  </w:pPr>
                </w:p>
              </w:tc>
              <w:tc>
                <w:tcPr>
                  <w:tcW w:w="847" w:type="dxa"/>
                  <w:tcBorders>
                    <w:top w:val="nil"/>
                    <w:left w:val="nil"/>
                    <w:bottom w:val="nil"/>
                    <w:right w:val="nil"/>
                  </w:tcBorders>
                </w:tcPr>
                <w:p w:rsidR="00EA5224" w:rsidP="00EA5224">
                  <w:pPr>
                    <w:jc w:val="center"/>
                    <w:rPr>
                      <w:sz w:val="20"/>
                      <w:szCs w:val="20"/>
                    </w:rPr>
                  </w:pPr>
                </w:p>
              </w:tc>
              <w:tc>
                <w:tcPr>
                  <w:tcW w:w="985" w:type="dxa"/>
                  <w:tcBorders>
                    <w:top w:val="nil"/>
                    <w:left w:val="nil"/>
                    <w:bottom w:val="nil"/>
                    <w:right w:val="single" w:sz="4" w:space="0" w:color="auto"/>
                  </w:tcBorders>
                </w:tcPr>
                <w:p w:rsidR="00EA5224" w:rsidP="00EA5224">
                  <w:pPr>
                    <w:jc w:val="center"/>
                    <w:rPr>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b/>
                      <w:sz w:val="20"/>
                      <w:szCs w:val="20"/>
                    </w:rPr>
                    <w:t>TOTAL</w:t>
                  </w:r>
                </w:p>
              </w:tc>
              <w:tc>
                <w:tcPr>
                  <w:tcW w:w="2285" w:type="dxa"/>
                  <w:tcBorders>
                    <w:top w:val="single" w:sz="4" w:space="0" w:color="000000"/>
                    <w:left w:val="single" w:sz="4" w:space="0" w:color="000000"/>
                    <w:bottom w:val="single" w:sz="4" w:space="0" w:color="000000"/>
                    <w:right w:val="single" w:sz="4" w:space="0" w:color="000000"/>
                  </w:tcBorders>
                  <w:hideMark/>
                </w:tcPr>
                <w:p w:rsidR="00EA5224" w:rsidP="00EA5224">
                  <w:pPr>
                    <w:jc w:val="center"/>
                    <w:rPr>
                      <w:sz w:val="20"/>
                      <w:szCs w:val="20"/>
                    </w:rPr>
                  </w:pPr>
                  <w:r>
                    <w:rPr>
                      <w:sz w:val="20"/>
                      <w:szCs w:val="20"/>
                    </w:rPr>
                    <w:t>15</w:t>
                  </w:r>
                </w:p>
              </w:tc>
            </w:tr>
            <w:tr w:rsidTr="00EA5224">
              <w:tblPrEx>
                <w:tblW w:w="9918" w:type="dxa"/>
                <w:tblLook w:val="04A0"/>
              </w:tblPrEx>
              <w:tc>
                <w:tcPr>
                  <w:tcW w:w="687" w:type="dxa"/>
                  <w:tcBorders>
                    <w:top w:val="nil"/>
                    <w:left w:val="nil"/>
                    <w:bottom w:val="nil"/>
                    <w:right w:val="nil"/>
                  </w:tcBorders>
                </w:tcPr>
                <w:p w:rsidR="00EA5224" w:rsidP="00EA5224">
                  <w:pPr>
                    <w:rPr>
                      <w:sz w:val="20"/>
                      <w:szCs w:val="20"/>
                    </w:rPr>
                  </w:pPr>
                </w:p>
              </w:tc>
              <w:tc>
                <w:tcPr>
                  <w:tcW w:w="1242" w:type="dxa"/>
                  <w:tcBorders>
                    <w:top w:val="nil"/>
                    <w:left w:val="nil"/>
                    <w:bottom w:val="nil"/>
                    <w:right w:val="nil"/>
                  </w:tcBorders>
                </w:tcPr>
                <w:p w:rsidR="00EA5224" w:rsidP="00EA5224">
                  <w:pPr>
                    <w:jc w:val="right"/>
                    <w:rPr>
                      <w:sz w:val="20"/>
                      <w:szCs w:val="20"/>
                    </w:rPr>
                  </w:pPr>
                </w:p>
              </w:tc>
              <w:tc>
                <w:tcPr>
                  <w:tcW w:w="847" w:type="dxa"/>
                  <w:tcBorders>
                    <w:top w:val="nil"/>
                    <w:left w:val="nil"/>
                    <w:bottom w:val="nil"/>
                    <w:right w:val="nil"/>
                  </w:tcBorders>
                </w:tcPr>
                <w:p w:rsidR="00EA5224" w:rsidP="00EA5224">
                  <w:pPr>
                    <w:jc w:val="center"/>
                    <w:rPr>
                      <w:sz w:val="20"/>
                      <w:szCs w:val="20"/>
                    </w:rPr>
                  </w:pPr>
                </w:p>
              </w:tc>
              <w:tc>
                <w:tcPr>
                  <w:tcW w:w="985" w:type="dxa"/>
                  <w:tcBorders>
                    <w:top w:val="nil"/>
                    <w:left w:val="nil"/>
                    <w:bottom w:val="nil"/>
                    <w:right w:val="single" w:sz="4" w:space="0" w:color="auto"/>
                  </w:tcBorders>
                </w:tcPr>
                <w:p w:rsidR="00EA5224" w:rsidP="00EA5224">
                  <w:pPr>
                    <w:jc w:val="center"/>
                    <w:rPr>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A5224" w:rsidP="00EA5224">
                  <w:pPr>
                    <w:spacing w:after="0" w:line="240" w:lineRule="auto"/>
                    <w:rPr>
                      <w:b/>
                      <w:sz w:val="20"/>
                      <w:szCs w:val="20"/>
                    </w:rPr>
                  </w:pPr>
                </w:p>
              </w:tc>
              <w:tc>
                <w:tcPr>
                  <w:tcW w:w="3185" w:type="dxa"/>
                  <w:gridSpan w:val="3"/>
                  <w:tcBorders>
                    <w:top w:val="single" w:sz="4" w:space="0" w:color="000000"/>
                    <w:left w:val="single" w:sz="4" w:space="0" w:color="000000"/>
                    <w:bottom w:val="single" w:sz="4" w:space="0" w:color="000000"/>
                    <w:right w:val="single" w:sz="4" w:space="0" w:color="000000"/>
                  </w:tcBorders>
                </w:tcPr>
                <w:p w:rsidR="00EA5224" w:rsidP="00EA5224">
                  <w:pPr>
                    <w:jc w:val="center"/>
                    <w:rPr>
                      <w:b/>
                      <w:sz w:val="20"/>
                      <w:szCs w:val="20"/>
                    </w:rPr>
                  </w:pPr>
                </w:p>
              </w:tc>
              <w:tc>
                <w:tcPr>
                  <w:tcW w:w="2285" w:type="dxa"/>
                  <w:tcBorders>
                    <w:top w:val="single" w:sz="4" w:space="0" w:color="000000"/>
                    <w:left w:val="single" w:sz="4" w:space="0" w:color="000000"/>
                    <w:bottom w:val="single" w:sz="4" w:space="0" w:color="000000"/>
                    <w:right w:val="single" w:sz="4" w:space="0" w:color="000000"/>
                  </w:tcBorders>
                </w:tcPr>
                <w:p w:rsidR="00EA5224" w:rsidP="00EA5224">
                  <w:pPr>
                    <w:jc w:val="center"/>
                    <w:rPr>
                      <w:b/>
                      <w:sz w:val="20"/>
                      <w:szCs w:val="20"/>
                    </w:rPr>
                  </w:pPr>
                </w:p>
              </w:tc>
            </w:tr>
          </w:tbl>
          <w:p w:rsidR="00EA5224" w:rsidP="00EA5224"/>
          <w:p w:rsidR="00EA5224" w:rsidP="00EA5224">
            <w:pPr>
              <w:pStyle w:val="ColorfulList-Accent11"/>
            </w:pPr>
          </w:p>
          <w:p w:rsidR="000E74CC" w:rsidRPr="00105992" w:rsidP="000E74CC">
            <w:pPr>
              <w:outlineLvl w:val="0"/>
              <w:rPr>
                <w:b/>
              </w:rPr>
            </w:pPr>
          </w:p>
        </w:tc>
      </w:tr>
    </w:tbl>
    <w:p w:rsidR="000E74CC" w:rsidP="000E74CC">
      <w:pPr>
        <w:pStyle w:val="ColorfulList-Accent11"/>
        <w:ind w:left="0"/>
      </w:pPr>
    </w:p>
    <w:p w:rsidR="00E42D8D" w:rsidP="000E74CC">
      <w:pPr>
        <w:pStyle w:val="ColorfulList-Accent11"/>
        <w:ind w:left="0"/>
      </w:pPr>
    </w:p>
    <w:p w:rsidR="000E74CC" w:rsidP="000E74CC">
      <w:pPr>
        <w:rPr>
          <w:b/>
        </w:rPr>
      </w:pPr>
      <w:r>
        <w:rPr>
          <w:b/>
        </w:rPr>
        <w:t>Question 4 – Engagement/Consultation</w:t>
      </w:r>
    </w:p>
    <w:p w:rsidR="000E74CC" w:rsidP="000E74CC">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0E74C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0E74CC" w:rsidRPr="003B69D2" w:rsidP="000E74CC">
            <w:r w:rsidRPr="003B69D2">
              <w:t>Consultation was carried out for 12 weeks from 23</w:t>
            </w:r>
            <w:r w:rsidRPr="003B69D2">
              <w:rPr>
                <w:vertAlign w:val="superscript"/>
              </w:rPr>
              <w:t>rd</w:t>
            </w:r>
            <w:r w:rsidRPr="003B69D2">
              <w:t xml:space="preserve"> April 2018 to 15</w:t>
            </w:r>
            <w:r w:rsidRPr="003B69D2">
              <w:rPr>
                <w:vertAlign w:val="superscript"/>
              </w:rPr>
              <w:t>th</w:t>
            </w:r>
            <w:r w:rsidRPr="003B69D2">
              <w:t xml:space="preserve"> July 2018.  </w:t>
            </w:r>
          </w:p>
          <w:p w:rsidR="000E74CC" w:rsidRPr="003B69D2" w:rsidP="000E74CC">
            <w:r w:rsidRPr="003B69D2">
              <w:t>Face to face meetings were held with residents and their relatives on 12</w:t>
            </w:r>
            <w:r w:rsidRPr="003B69D2">
              <w:rPr>
                <w:vertAlign w:val="superscript"/>
              </w:rPr>
              <w:t>th</w:t>
            </w:r>
            <w:r w:rsidRPr="003B69D2">
              <w:t xml:space="preserve"> April 2018 and 3</w:t>
            </w:r>
            <w:r w:rsidRPr="003B69D2">
              <w:rPr>
                <w:vertAlign w:val="superscript"/>
              </w:rPr>
              <w:t>rd</w:t>
            </w:r>
            <w:r w:rsidRPr="003B69D2">
              <w:t xml:space="preserve"> May 2018.  </w:t>
            </w:r>
          </w:p>
          <w:p w:rsidR="000E74CC" w:rsidRPr="003B69D2" w:rsidP="000E74CC">
            <w:r w:rsidRPr="003B69D2">
              <w:t>A further meeting was provisionally planned for 3</w:t>
            </w:r>
            <w:r w:rsidRPr="003B69D2">
              <w:rPr>
                <w:vertAlign w:val="superscript"/>
              </w:rPr>
              <w:t>rd</w:t>
            </w:r>
            <w:r w:rsidRPr="003B69D2">
              <w:t xml:space="preserve"> June 2018 but it was agreed with residents and families that instead of this a list of frequently asked questions would be produced which gave detailed answers into some of the questions. </w:t>
            </w:r>
          </w:p>
          <w:p w:rsidR="000E74CC" w:rsidRPr="003B69D2" w:rsidP="000E74CC">
            <w:r w:rsidRPr="003B69D2">
              <w:t>The consultation followed the Cabinet Code of Practice on Consultation which sets out a best practice model for consultations.</w:t>
            </w:r>
          </w:p>
          <w:p w:rsidR="000E74CC" w:rsidRPr="003B69D2" w:rsidP="000E74CC">
            <w:r w:rsidRPr="003B69D2">
              <w:t>The consultation was offered to the following groups:</w:t>
            </w:r>
          </w:p>
          <w:p w:rsidR="000E74CC" w:rsidRPr="003B69D2" w:rsidP="000E74CC">
            <w:pPr>
              <w:numPr>
                <w:ilvl w:val="0"/>
                <w:numId w:val="6"/>
              </w:numPr>
              <w:spacing w:after="0" w:line="240" w:lineRule="auto"/>
            </w:pPr>
            <w:r w:rsidRPr="003B69D2">
              <w:t>Existing residents of Lower Ridge, their relatives, advocates and representatives</w:t>
            </w:r>
          </w:p>
          <w:p w:rsidR="000E74CC" w:rsidRPr="003B69D2" w:rsidP="000E74CC">
            <w:pPr>
              <w:numPr>
                <w:ilvl w:val="0"/>
                <w:numId w:val="6"/>
              </w:numPr>
              <w:spacing w:after="0" w:line="240" w:lineRule="auto"/>
            </w:pPr>
            <w:r w:rsidRPr="003B69D2">
              <w:t>GPs and relevant health care professionals</w:t>
            </w:r>
          </w:p>
          <w:p w:rsidR="000E74CC" w:rsidRPr="003B69D2" w:rsidP="000E74CC">
            <w:pPr>
              <w:numPr>
                <w:ilvl w:val="0"/>
                <w:numId w:val="6"/>
              </w:numPr>
              <w:spacing w:after="0" w:line="240" w:lineRule="auto"/>
            </w:pPr>
            <w:r w:rsidRPr="003B69D2">
              <w:t>East Lancashire Clinical Commissioning Group</w:t>
            </w:r>
          </w:p>
          <w:p w:rsidR="000E74CC" w:rsidRPr="003B69D2" w:rsidP="000E74CC">
            <w:pPr>
              <w:numPr>
                <w:ilvl w:val="0"/>
                <w:numId w:val="6"/>
              </w:numPr>
              <w:spacing w:after="0" w:line="240" w:lineRule="auto"/>
            </w:pPr>
            <w:r w:rsidRPr="003B69D2">
              <w:t>Burnley Borough Council</w:t>
            </w:r>
          </w:p>
          <w:p w:rsidR="000E74CC" w:rsidRPr="003B69D2" w:rsidP="000E74CC">
            <w:pPr>
              <w:numPr>
                <w:ilvl w:val="0"/>
                <w:numId w:val="6"/>
              </w:numPr>
              <w:spacing w:after="0" w:line="240" w:lineRule="auto"/>
            </w:pPr>
            <w:r w:rsidRPr="003B69D2">
              <w:t>Care Quality Commission</w:t>
            </w:r>
          </w:p>
          <w:p w:rsidR="000E74CC" w:rsidRPr="003B69D2" w:rsidP="000E74CC">
            <w:pPr>
              <w:numPr>
                <w:ilvl w:val="0"/>
                <w:numId w:val="6"/>
              </w:numPr>
              <w:spacing w:after="0" w:line="240" w:lineRule="auto"/>
            </w:pPr>
            <w:r w:rsidRPr="003B69D2">
              <w:t>County Councillors and other elected representatives such as Borough Councillors and MPs</w:t>
            </w:r>
          </w:p>
          <w:p w:rsidR="000E74CC" w:rsidRPr="003B69D2" w:rsidP="000E74CC">
            <w:pPr>
              <w:numPr>
                <w:ilvl w:val="0"/>
                <w:numId w:val="6"/>
              </w:numPr>
              <w:spacing w:after="0" w:line="240" w:lineRule="auto"/>
            </w:pPr>
            <w:r w:rsidRPr="003B69D2">
              <w:t>Staff at Lower Ridge</w:t>
            </w:r>
          </w:p>
          <w:p w:rsidR="000E74CC" w:rsidRPr="003B69D2" w:rsidP="000E74CC">
            <w:pPr>
              <w:tabs>
                <w:tab w:val="center" w:pos="4513"/>
                <w:tab w:val="right" w:pos="9026"/>
              </w:tabs>
              <w:spacing w:after="0" w:line="240" w:lineRule="auto"/>
            </w:pPr>
          </w:p>
          <w:p w:rsidR="000E74CC" w:rsidRPr="003B69D2" w:rsidP="000E74CC">
            <w:pPr>
              <w:tabs>
                <w:tab w:val="center" w:pos="4513"/>
                <w:tab w:val="right" w:pos="9026"/>
              </w:tabs>
              <w:spacing w:after="0" w:line="240" w:lineRule="auto"/>
            </w:pPr>
            <w:r w:rsidRPr="003B69D2">
              <w:t>Any local individuals or stakeholders who wished to take part could do so.</w:t>
            </w:r>
          </w:p>
          <w:p w:rsidR="000E74CC" w:rsidRPr="003B69D2" w:rsidP="000E74CC">
            <w:pPr>
              <w:tabs>
                <w:tab w:val="center" w:pos="4513"/>
                <w:tab w:val="right" w:pos="9026"/>
              </w:tabs>
              <w:spacing w:after="0" w:line="240" w:lineRule="auto"/>
            </w:pPr>
          </w:p>
          <w:p w:rsidR="000E74CC" w:rsidRPr="003B69D2" w:rsidP="000E74CC">
            <w:pPr>
              <w:rPr>
                <w:szCs w:val="23"/>
              </w:rPr>
            </w:pPr>
            <w:r w:rsidRPr="003B69D2">
              <w:rPr>
                <w:szCs w:val="23"/>
              </w:rPr>
              <w:t xml:space="preserve">For the consultation, paper questionnaires were distributed to Lower Ridge Care Home residents.  </w:t>
            </w:r>
          </w:p>
          <w:p w:rsidR="000E74CC" w:rsidRPr="003B69D2" w:rsidP="000E74CC">
            <w:pPr>
              <w:rPr>
                <w:szCs w:val="23"/>
              </w:rPr>
            </w:pPr>
            <w:r w:rsidRPr="003B69D2">
              <w:rPr>
                <w:szCs w:val="23"/>
              </w:rPr>
              <w:t xml:space="preserve">Paper questionnaires were also made available for stakeholders, including the relatives of residents and Lower Ridge Care Home staff.  </w:t>
            </w:r>
          </w:p>
          <w:p w:rsidR="000E74CC" w:rsidRPr="003B69D2" w:rsidP="000E74CC">
            <w:pPr>
              <w:rPr>
                <w:szCs w:val="23"/>
              </w:rPr>
            </w:pPr>
            <w:r w:rsidRPr="003B69D2">
              <w:rPr>
                <w:szCs w:val="23"/>
              </w:rPr>
              <w:t xml:space="preserve">An electronic version of the consultation questionnaire was available online at www.lancashire.gov.uk. PDF, Microsoft Word, large print and easy read versions were also available at </w:t>
            </w:r>
            <w:r>
              <w:fldChar w:fldCharType="begin"/>
            </w:r>
            <w:r>
              <w:instrText xml:space="preserve"> HYPERLINK "http://www.lancashire.gov.uk" </w:instrText>
            </w:r>
            <w:r>
              <w:fldChar w:fldCharType="separate"/>
            </w:r>
            <w:r w:rsidRPr="003B69D2">
              <w:rPr>
                <w:color w:val="0000FF"/>
                <w:szCs w:val="23"/>
                <w:u w:val="single"/>
              </w:rPr>
              <w:t>www.lancashire.gov.uk</w:t>
            </w:r>
            <w:r>
              <w:fldChar w:fldCharType="end"/>
            </w:r>
            <w:r w:rsidRPr="003B69D2">
              <w:rPr>
                <w:szCs w:val="23"/>
              </w:rPr>
              <w:t>.</w:t>
            </w:r>
          </w:p>
          <w:p w:rsidR="000E74CC" w:rsidRPr="003B69D2" w:rsidP="000E74CC">
            <w:pPr>
              <w:rPr>
                <w:sz w:val="44"/>
              </w:rPr>
            </w:pPr>
            <w:r w:rsidRPr="003B69D2">
              <w:rPr>
                <w:szCs w:val="23"/>
              </w:rPr>
              <w:t>In total, 214 completed questionnaires were returned (24 paper questionnaire responses and 190 online questionnaire responses).</w:t>
            </w:r>
          </w:p>
          <w:p w:rsidR="000E74CC" w:rsidRPr="003B69D2" w:rsidP="000E74CC">
            <w:r w:rsidRPr="003B69D2">
              <w:t>The key outcomes of the consultation are:</w:t>
            </w:r>
          </w:p>
          <w:p w:rsidR="000E74CC" w:rsidRPr="003B69D2" w:rsidP="000E74CC">
            <w:pPr>
              <w:autoSpaceDE w:val="0"/>
              <w:autoSpaceDN w:val="0"/>
              <w:adjustRightInd w:val="0"/>
              <w:spacing w:after="0" w:line="240" w:lineRule="auto"/>
              <w:rPr>
                <w:rFonts w:cs="Arial"/>
                <w:color w:val="000000"/>
                <w:sz w:val="24"/>
                <w:szCs w:val="24"/>
                <w:lang w:eastAsia="en-GB"/>
              </w:rPr>
            </w:pPr>
          </w:p>
          <w:p w:rsidR="000E74CC" w:rsidRPr="003B69D2" w:rsidP="000E74CC">
            <w:pPr>
              <w:numPr>
                <w:ilvl w:val="0"/>
                <w:numId w:val="7"/>
              </w:numPr>
              <w:autoSpaceDE w:val="0"/>
              <w:autoSpaceDN w:val="0"/>
              <w:adjustRightInd w:val="0"/>
              <w:spacing w:after="157" w:line="240" w:lineRule="auto"/>
              <w:rPr>
                <w:rFonts w:cs="Arial"/>
                <w:color w:val="000000"/>
                <w:szCs w:val="23"/>
                <w:lang w:eastAsia="en-GB"/>
              </w:rPr>
            </w:pPr>
            <w:r w:rsidRPr="003B69D2">
              <w:rPr>
                <w:rFonts w:cs="Arial"/>
                <w:color w:val="000000"/>
                <w:szCs w:val="23"/>
                <w:lang w:eastAsia="en-GB"/>
              </w:rPr>
              <w:t xml:space="preserve">Nearly nine-tenths of respondents (87%) strongly disagree with the proposed closure of Lower Ridge Care Home. </w:t>
            </w:r>
          </w:p>
          <w:p w:rsidR="000E74CC" w:rsidRPr="003B69D2" w:rsidP="000E74CC">
            <w:pPr>
              <w:numPr>
                <w:ilvl w:val="0"/>
                <w:numId w:val="7"/>
              </w:numPr>
              <w:autoSpaceDE w:val="0"/>
              <w:autoSpaceDN w:val="0"/>
              <w:adjustRightInd w:val="0"/>
              <w:spacing w:after="157" w:line="240" w:lineRule="auto"/>
              <w:rPr>
                <w:rFonts w:cs="Arial"/>
                <w:color w:val="000000"/>
                <w:szCs w:val="23"/>
                <w:lang w:eastAsia="en-GB"/>
              </w:rPr>
            </w:pPr>
            <w:r w:rsidRPr="003B69D2">
              <w:rPr>
                <w:rFonts w:cs="Arial"/>
                <w:color w:val="000000"/>
                <w:szCs w:val="23"/>
                <w:lang w:eastAsia="en-GB"/>
              </w:rPr>
              <w:t xml:space="preserve">When asked why they agree or disagree with the proposal, respondents were most likely to say that the residents are settled/content at Lower Ridge (39%), it's a well-run care home (29%), disagree with the closure of Lower Ridge (27%), and relocating the residents will have a negative impact on their health and wellbeing (27%). </w:t>
            </w:r>
          </w:p>
          <w:p w:rsidR="000E74CC" w:rsidRPr="003B69D2" w:rsidP="000E74CC">
            <w:pPr>
              <w:numPr>
                <w:ilvl w:val="0"/>
                <w:numId w:val="7"/>
              </w:numPr>
              <w:autoSpaceDE w:val="0"/>
              <w:autoSpaceDN w:val="0"/>
              <w:adjustRightInd w:val="0"/>
              <w:spacing w:after="157" w:line="240" w:lineRule="auto"/>
              <w:rPr>
                <w:rFonts w:cs="Arial"/>
                <w:color w:val="000000"/>
                <w:szCs w:val="23"/>
                <w:lang w:eastAsia="en-GB"/>
              </w:rPr>
            </w:pPr>
            <w:r w:rsidRPr="003B69D2">
              <w:rPr>
                <w:rFonts w:cs="Arial"/>
                <w:color w:val="000000"/>
                <w:szCs w:val="23"/>
                <w:lang w:eastAsia="en-GB"/>
              </w:rPr>
              <w:t xml:space="preserve">Half of respondents (50%) said that the closure would have a negative impact on the health and wellbeing of residents, when asked how it would affect them, if the proposal to close Lower Ridge happened. </w:t>
            </w:r>
          </w:p>
          <w:p w:rsidR="000E74CC" w:rsidRPr="003B69D2" w:rsidP="000E74CC">
            <w:pPr>
              <w:numPr>
                <w:ilvl w:val="0"/>
                <w:numId w:val="7"/>
              </w:numPr>
              <w:autoSpaceDE w:val="0"/>
              <w:autoSpaceDN w:val="0"/>
              <w:adjustRightInd w:val="0"/>
              <w:spacing w:after="157" w:line="240" w:lineRule="auto"/>
              <w:rPr>
                <w:rFonts w:cs="Arial"/>
                <w:color w:val="000000"/>
                <w:szCs w:val="23"/>
                <w:lang w:eastAsia="en-GB"/>
              </w:rPr>
            </w:pPr>
            <w:r w:rsidRPr="003B69D2">
              <w:rPr>
                <w:rFonts w:cs="Arial"/>
                <w:color w:val="000000"/>
                <w:szCs w:val="23"/>
                <w:lang w:eastAsia="en-GB"/>
              </w:rPr>
              <w:t xml:space="preserve">Respondents who are not residents at Lower Ridge Care Home were asked how they thought it would affect the residents of Lower Ridge Care Home if the proposal to close the home happened. Over nine in ten respondents (93%) said that moving the residents will have a negative impact on their health and wellbeing. </w:t>
            </w:r>
          </w:p>
          <w:p w:rsidR="000E74CC" w:rsidRPr="003B69D2" w:rsidP="000E74CC">
            <w:pPr>
              <w:numPr>
                <w:ilvl w:val="0"/>
                <w:numId w:val="7"/>
              </w:numPr>
              <w:autoSpaceDE w:val="0"/>
              <w:autoSpaceDN w:val="0"/>
              <w:adjustRightInd w:val="0"/>
              <w:spacing w:after="157" w:line="240" w:lineRule="auto"/>
              <w:rPr>
                <w:rFonts w:cs="Arial"/>
                <w:color w:val="000000"/>
                <w:szCs w:val="23"/>
                <w:lang w:eastAsia="en-GB"/>
              </w:rPr>
            </w:pPr>
            <w:r w:rsidRPr="003B69D2">
              <w:rPr>
                <w:rFonts w:cs="Arial"/>
                <w:color w:val="000000"/>
                <w:szCs w:val="23"/>
                <w:lang w:eastAsia="en-GB"/>
              </w:rPr>
              <w:t xml:space="preserve">Respondents were most likely to say renovate/invest in the existing building (48%) and keep Lower Ridge Care Home open (40%) when asked if there is anything else that we need to consider or that could be differently. </w:t>
            </w:r>
          </w:p>
          <w:p w:rsidR="000E74CC" w:rsidRPr="003B69D2" w:rsidP="000E74CC">
            <w:pPr>
              <w:numPr>
                <w:ilvl w:val="0"/>
                <w:numId w:val="7"/>
              </w:numPr>
              <w:autoSpaceDE w:val="0"/>
              <w:autoSpaceDN w:val="0"/>
              <w:adjustRightInd w:val="0"/>
              <w:spacing w:after="157" w:line="240" w:lineRule="auto"/>
              <w:rPr>
                <w:rFonts w:cs="Arial"/>
                <w:color w:val="000000"/>
                <w:szCs w:val="23"/>
                <w:lang w:eastAsia="en-GB"/>
              </w:rPr>
            </w:pPr>
            <w:r w:rsidRPr="003B69D2">
              <w:rPr>
                <w:rFonts w:cs="Arial"/>
                <w:color w:val="000000"/>
                <w:szCs w:val="23"/>
                <w:lang w:eastAsia="en-GB"/>
              </w:rPr>
              <w:t xml:space="preserve">The nine respondents who are residents at Lower Ridge Care Home all strongly disagreed with the proposed closure. </w:t>
            </w:r>
          </w:p>
          <w:p w:rsidR="000E74CC" w:rsidRPr="003B69D2" w:rsidP="000E74CC">
            <w:pPr>
              <w:numPr>
                <w:ilvl w:val="0"/>
                <w:numId w:val="7"/>
              </w:numPr>
              <w:autoSpaceDE w:val="0"/>
              <w:autoSpaceDN w:val="0"/>
              <w:adjustRightInd w:val="0"/>
              <w:spacing w:after="157" w:line="240" w:lineRule="auto"/>
              <w:rPr>
                <w:rFonts w:cs="Arial"/>
                <w:color w:val="000000"/>
                <w:szCs w:val="23"/>
                <w:lang w:eastAsia="en-GB"/>
              </w:rPr>
            </w:pPr>
            <w:r w:rsidRPr="003B69D2">
              <w:rPr>
                <w:rFonts w:cs="Arial"/>
                <w:color w:val="000000"/>
                <w:szCs w:val="23"/>
                <w:lang w:eastAsia="en-GB"/>
              </w:rPr>
              <w:t xml:space="preserve">We received a group response signed by 33 members of staff at Lower Ridge Care Home opposing the proposed closure of Lower Ridge Care Home and outlining their case for improving how the site is utilised. </w:t>
            </w:r>
          </w:p>
          <w:p w:rsidR="000E74CC" w:rsidRPr="003B69D2" w:rsidP="000E74CC">
            <w:pPr>
              <w:numPr>
                <w:ilvl w:val="0"/>
                <w:numId w:val="7"/>
              </w:numPr>
              <w:autoSpaceDE w:val="0"/>
              <w:autoSpaceDN w:val="0"/>
              <w:adjustRightInd w:val="0"/>
              <w:spacing w:after="157" w:line="240" w:lineRule="auto"/>
              <w:rPr>
                <w:rFonts w:cs="Arial"/>
                <w:color w:val="000000"/>
                <w:szCs w:val="23"/>
                <w:lang w:eastAsia="en-GB"/>
              </w:rPr>
            </w:pPr>
            <w:r w:rsidRPr="003B69D2">
              <w:rPr>
                <w:rFonts w:cs="Arial"/>
                <w:color w:val="000000"/>
                <w:szCs w:val="23"/>
                <w:lang w:eastAsia="en-GB"/>
              </w:rPr>
              <w:t xml:space="preserve">We received two petitions opposing the proposed closure of Lower Ridge Care Home, one with 45 signatories and one with 1,668 signatories. </w:t>
            </w:r>
          </w:p>
          <w:p w:rsidR="000E74CC" w:rsidRPr="003B69D2" w:rsidP="000E74CC">
            <w:pPr>
              <w:numPr>
                <w:ilvl w:val="0"/>
                <w:numId w:val="7"/>
              </w:numPr>
              <w:autoSpaceDE w:val="0"/>
              <w:autoSpaceDN w:val="0"/>
              <w:adjustRightInd w:val="0"/>
              <w:spacing w:after="0" w:line="240" w:lineRule="auto"/>
              <w:rPr>
                <w:rFonts w:cs="Arial"/>
                <w:color w:val="000000"/>
                <w:szCs w:val="23"/>
                <w:lang w:eastAsia="en-GB"/>
              </w:rPr>
            </w:pPr>
            <w:r w:rsidRPr="003B69D2">
              <w:rPr>
                <w:rFonts w:cs="Arial"/>
                <w:color w:val="000000"/>
                <w:szCs w:val="23"/>
                <w:lang w:eastAsia="en-GB"/>
              </w:rPr>
              <w:t xml:space="preserve">We received a letter from Burnley Borough Council opposing the closure of Lower Ridge Care Home and arguing for an internal re-design and refurbishment of the existing building. </w:t>
            </w:r>
          </w:p>
          <w:p w:rsidR="000E74CC" w:rsidRPr="003B69D2" w:rsidP="000E74CC">
            <w:pPr>
              <w:pageBreakBefore/>
              <w:autoSpaceDE w:val="0"/>
              <w:autoSpaceDN w:val="0"/>
              <w:adjustRightInd w:val="0"/>
              <w:spacing w:after="0" w:line="240" w:lineRule="auto"/>
              <w:rPr>
                <w:rFonts w:cs="Arial"/>
                <w:sz w:val="32"/>
                <w:szCs w:val="24"/>
                <w:lang w:eastAsia="en-GB"/>
              </w:rPr>
            </w:pPr>
          </w:p>
          <w:p w:rsidR="000E74CC" w:rsidRPr="003B69D2" w:rsidP="000E74CC">
            <w:pPr>
              <w:numPr>
                <w:ilvl w:val="0"/>
                <w:numId w:val="7"/>
              </w:numPr>
              <w:autoSpaceDE w:val="0"/>
              <w:autoSpaceDN w:val="0"/>
              <w:adjustRightInd w:val="0"/>
              <w:spacing w:after="0" w:line="240" w:lineRule="auto"/>
              <w:rPr>
                <w:rFonts w:cs="Arial"/>
                <w:szCs w:val="23"/>
                <w:lang w:eastAsia="en-GB"/>
              </w:rPr>
            </w:pPr>
            <w:r w:rsidRPr="003B69D2">
              <w:rPr>
                <w:rFonts w:cs="Arial"/>
                <w:szCs w:val="23"/>
                <w:lang w:eastAsia="en-GB"/>
              </w:rPr>
              <w:t xml:space="preserve">We received a letter from a resident's relative opposing the closure of Lower Ridge Care Home and arguing for alternative options of renovation and extension, or a new build altogether on the existing site. </w:t>
            </w:r>
          </w:p>
          <w:p w:rsidR="000E74CC" w:rsidRPr="003B69D2" w:rsidP="000E74CC">
            <w:r w:rsidRPr="003B69D2">
              <w:t xml:space="preserve"> </w:t>
            </w:r>
          </w:p>
          <w:p w:rsidR="000E74CC" w:rsidRPr="003B69D2" w:rsidP="000E74CC">
            <w:r w:rsidRPr="003B69D2">
              <w:t>The full consultation report is attached as an appendix to the main Cabinet report</w:t>
            </w:r>
            <w:r>
              <w:t>.</w:t>
            </w:r>
          </w:p>
          <w:p w:rsidR="000E74CC" w:rsidRPr="003B69D2" w:rsidP="000E74CC">
            <w:pPr>
              <w:tabs>
                <w:tab w:val="center" w:pos="4513"/>
                <w:tab w:val="right" w:pos="9026"/>
              </w:tabs>
              <w:spacing w:after="0" w:line="240" w:lineRule="auto"/>
            </w:pPr>
          </w:p>
          <w:p w:rsidR="000E74CC" w:rsidP="000E74CC"/>
        </w:tc>
      </w:tr>
    </w:tbl>
    <w:p w:rsidR="000E74CC" w:rsidP="000E74CC"/>
    <w:p w:rsidR="000E74CC" w:rsidP="000E74CC">
      <w:pPr>
        <w:outlineLvl w:val="0"/>
        <w:rPr>
          <w:b/>
        </w:rPr>
      </w:pPr>
      <w:r w:rsidRPr="00500678">
        <w:rPr>
          <w:b/>
        </w:rPr>
        <w:t xml:space="preserve">Question </w:t>
      </w:r>
      <w:r>
        <w:rPr>
          <w:b/>
        </w:rPr>
        <w:t xml:space="preserve">5 – Analysing Impact </w:t>
      </w:r>
    </w:p>
    <w:p w:rsidR="000E74CC" w:rsidP="000E74CC">
      <w:r>
        <w:t>Could this proposal potentially disadvantage particular groups sharing protected characteristics and if so which groups and in what way?  This pays particular attention to the general aims of the Public Sector Equality Duty:</w:t>
      </w:r>
    </w:p>
    <w:p w:rsidR="000E74CC" w:rsidP="000E74CC">
      <w:pPr>
        <w:ind w:left="720" w:hanging="360"/>
      </w:pPr>
      <w:r>
        <w:t>-</w:t>
      </w:r>
      <w:r>
        <w:tab/>
        <w:t xml:space="preserve">To eliminate unlawful discrimination, harassment or victimisation because of protected characteristics; </w:t>
      </w:r>
    </w:p>
    <w:p w:rsidR="000E74CC" w:rsidP="000E74CC">
      <w:pPr>
        <w:ind w:left="720" w:hanging="360"/>
      </w:pPr>
      <w:r>
        <w:t>-</w:t>
      </w:r>
      <w:r>
        <w:tab/>
        <w:t xml:space="preserve">To advance equality of opportunity for those who share protected characteristics; </w:t>
      </w:r>
    </w:p>
    <w:p w:rsidR="000E74CC" w:rsidP="000E74CC">
      <w:pPr>
        <w:ind w:left="720" w:hanging="360"/>
      </w:pPr>
      <w:r>
        <w:t>-</w:t>
      </w:r>
      <w:r>
        <w:tab/>
        <w:t>To encourage people who share a relevant protected characteristic to participate in public life;</w:t>
      </w:r>
    </w:p>
    <w:p w:rsidR="000E74CC" w:rsidP="000E74CC">
      <w:pPr>
        <w:numPr>
          <w:ilvl w:val="0"/>
          <w:numId w:val="2"/>
        </w:numPr>
      </w:pPr>
      <w:r>
        <w:t>To contribute to fostering good relations between those who share a relevant protected characteristic and those who do not/community cohesion;</w:t>
      </w:r>
    </w:p>
    <w:p w:rsidR="00E42D8D" w:rsidP="00E42D8D">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E74CC" w:rsidRPr="00204EBE" w:rsidP="000E74CC">
            <w:pPr>
              <w:ind w:left="454"/>
              <w:jc w:val="both"/>
              <w:outlineLvl w:val="0"/>
              <w:rPr>
                <w:u w:val="single"/>
              </w:rPr>
            </w:pPr>
            <w:r>
              <w:rPr>
                <w:u w:val="single"/>
              </w:rPr>
              <w:t>Impact on p</w:t>
            </w:r>
            <w:r w:rsidRPr="00204EBE">
              <w:rPr>
                <w:u w:val="single"/>
              </w:rPr>
              <w:t xml:space="preserve">rospective </w:t>
            </w:r>
            <w:r>
              <w:rPr>
                <w:u w:val="single"/>
              </w:rPr>
              <w:t>f</w:t>
            </w:r>
            <w:r w:rsidRPr="00204EBE">
              <w:rPr>
                <w:u w:val="single"/>
              </w:rPr>
              <w:t xml:space="preserve">uture </w:t>
            </w:r>
            <w:r>
              <w:rPr>
                <w:u w:val="single"/>
              </w:rPr>
              <w:t>r</w:t>
            </w:r>
            <w:r w:rsidRPr="00204EBE">
              <w:rPr>
                <w:u w:val="single"/>
              </w:rPr>
              <w:t>esidents</w:t>
            </w:r>
            <w:r>
              <w:rPr>
                <w:u w:val="single"/>
              </w:rPr>
              <w:t xml:space="preserve"> and their families</w:t>
            </w:r>
            <w:r w:rsidRPr="00204EBE">
              <w:rPr>
                <w:u w:val="single"/>
              </w:rPr>
              <w:t xml:space="preserve"> </w:t>
            </w:r>
          </w:p>
          <w:p w:rsidR="000E74CC" w:rsidP="000E74CC">
            <w:pPr>
              <w:ind w:left="454"/>
              <w:jc w:val="both"/>
              <w:outlineLvl w:val="0"/>
            </w:pPr>
            <w:r>
              <w:t xml:space="preserve">The closure of Lower Ridge would mean that there would be no county council run Older People's residential home in the town of Burnley itself.  </w:t>
            </w:r>
          </w:p>
          <w:p w:rsidR="000E74CC" w:rsidP="000E74CC">
            <w:pPr>
              <w:ind w:left="454"/>
              <w:jc w:val="both"/>
              <w:outlineLvl w:val="0"/>
            </w:pPr>
            <w:r>
              <w:t xml:space="preserve">The nearest County Council home to Lower Ridge is Woodside which is 3.7 miles away in </w:t>
            </w:r>
            <w:r>
              <w:t>Padiham</w:t>
            </w:r>
            <w:r>
              <w:t xml:space="preserve">. Woodside is also within the boundaries of Burnley Borough Council.  Woodside is rated 'Good' by CQC and its latest inspection report is available at </w:t>
            </w:r>
            <w:r>
              <w:fldChar w:fldCharType="begin"/>
            </w:r>
            <w:r>
              <w:instrText xml:space="preserve"> HYPERLINK "https://www.cqc.org.uk/location/1-147345580" \l "accordion-1" </w:instrText>
            </w:r>
            <w:r>
              <w:fldChar w:fldCharType="separate"/>
            </w:r>
            <w:r w:rsidRPr="00676CE7">
              <w:rPr>
                <w:rStyle w:val="Hyperlink"/>
              </w:rPr>
              <w:t>https://www.cqc.org.uk/location/1-147345580#accordion-1</w:t>
            </w:r>
            <w:r>
              <w:fldChar w:fldCharType="end"/>
            </w:r>
            <w:r>
              <w:t xml:space="preserve">  </w:t>
            </w:r>
          </w:p>
          <w:p w:rsidR="000E74CC" w:rsidP="000E74CC">
            <w:pPr>
              <w:ind w:left="454"/>
              <w:jc w:val="both"/>
              <w:outlineLvl w:val="0"/>
            </w:pPr>
            <w:r>
              <w:t xml:space="preserve">However many consultees have emphasised that </w:t>
            </w:r>
            <w:r>
              <w:t>Padiham</w:t>
            </w:r>
            <w:r>
              <w:t xml:space="preserve"> and Burnley are distinct and distinctive communities and travel between the two towns is not easy for some people.  </w:t>
            </w:r>
          </w:p>
          <w:p w:rsidR="000E74CC" w:rsidP="000E74CC">
            <w:pPr>
              <w:ind w:left="454"/>
              <w:jc w:val="both"/>
              <w:outlineLvl w:val="0"/>
            </w:pPr>
            <w:r>
              <w:t>There are also a further 6 County Council homes within a 12 mile radius of Lower Ridge in other districts of East Lancashire. As of 12</w:t>
            </w:r>
            <w:r w:rsidRPr="000F3A43">
              <w:rPr>
                <w:vertAlign w:val="superscript"/>
              </w:rPr>
              <w:t>th</w:t>
            </w:r>
            <w:r>
              <w:t xml:space="preserve"> August 2018 their vacancies are as follows.</w:t>
            </w:r>
          </w:p>
          <w:tbl>
            <w:tblPr>
              <w:tblStyle w:val="TableGrid"/>
              <w:tblW w:w="0" w:type="auto"/>
              <w:tblInd w:w="454" w:type="dxa"/>
              <w:tblLook w:val="04A0"/>
            </w:tblPr>
            <w:tblGrid>
              <w:gridCol w:w="2823"/>
              <w:gridCol w:w="2739"/>
              <w:gridCol w:w="2774"/>
            </w:tblGrid>
            <w:tr w:rsidTr="000E74CC">
              <w:tblPrEx>
                <w:tblW w:w="0" w:type="auto"/>
                <w:tblInd w:w="454" w:type="dxa"/>
                <w:tblLook w:val="04A0"/>
              </w:tblPrEx>
              <w:tc>
                <w:tcPr>
                  <w:tcW w:w="3041" w:type="dxa"/>
                </w:tcPr>
                <w:p w:rsidR="000E74CC" w:rsidP="000E74CC">
                  <w:pPr>
                    <w:jc w:val="both"/>
                    <w:outlineLvl w:val="0"/>
                  </w:pPr>
                </w:p>
              </w:tc>
              <w:tc>
                <w:tcPr>
                  <w:tcW w:w="3042" w:type="dxa"/>
                </w:tcPr>
                <w:p w:rsidR="000E74CC" w:rsidP="000E74CC">
                  <w:pPr>
                    <w:jc w:val="center"/>
                    <w:outlineLvl w:val="0"/>
                  </w:pPr>
                  <w:r>
                    <w:t>Dementia</w:t>
                  </w:r>
                </w:p>
              </w:tc>
              <w:tc>
                <w:tcPr>
                  <w:tcW w:w="3042" w:type="dxa"/>
                </w:tcPr>
                <w:p w:rsidR="000E74CC" w:rsidP="000E74CC">
                  <w:pPr>
                    <w:jc w:val="center"/>
                    <w:outlineLvl w:val="0"/>
                  </w:pPr>
                  <w:r>
                    <w:t>Residential</w:t>
                  </w:r>
                </w:p>
              </w:tc>
            </w:tr>
            <w:tr w:rsidTr="000E74CC">
              <w:tblPrEx>
                <w:tblW w:w="0" w:type="auto"/>
                <w:tblInd w:w="454" w:type="dxa"/>
                <w:tblLook w:val="04A0"/>
              </w:tblPrEx>
              <w:tc>
                <w:tcPr>
                  <w:tcW w:w="3041" w:type="dxa"/>
                </w:tcPr>
                <w:p w:rsidR="000E74CC" w:rsidP="000E74CC">
                  <w:pPr>
                    <w:jc w:val="both"/>
                    <w:outlineLvl w:val="0"/>
                  </w:pPr>
                  <w:r>
                    <w:t xml:space="preserve">Woodside, </w:t>
                  </w:r>
                  <w:r>
                    <w:t>Padiham</w:t>
                  </w:r>
                </w:p>
              </w:tc>
              <w:tc>
                <w:tcPr>
                  <w:tcW w:w="3042" w:type="dxa"/>
                </w:tcPr>
                <w:p w:rsidR="000E74CC" w:rsidP="000E74CC">
                  <w:pPr>
                    <w:jc w:val="center"/>
                    <w:outlineLvl w:val="0"/>
                  </w:pPr>
                  <w:r>
                    <w:t>0</w:t>
                  </w:r>
                </w:p>
              </w:tc>
              <w:tc>
                <w:tcPr>
                  <w:tcW w:w="3042" w:type="dxa"/>
                </w:tcPr>
                <w:p w:rsidR="000E74CC" w:rsidP="000E74CC">
                  <w:pPr>
                    <w:jc w:val="center"/>
                    <w:outlineLvl w:val="0"/>
                  </w:pPr>
                  <w:r>
                    <w:t>5</w:t>
                  </w:r>
                </w:p>
              </w:tc>
            </w:tr>
            <w:tr w:rsidTr="000E74CC">
              <w:tblPrEx>
                <w:tblW w:w="0" w:type="auto"/>
                <w:tblInd w:w="454" w:type="dxa"/>
                <w:tblLook w:val="04A0"/>
              </w:tblPrEx>
              <w:tc>
                <w:tcPr>
                  <w:tcW w:w="3041" w:type="dxa"/>
                </w:tcPr>
                <w:p w:rsidR="000E74CC" w:rsidP="000E74CC">
                  <w:pPr>
                    <w:jc w:val="both"/>
                    <w:outlineLvl w:val="0"/>
                  </w:pPr>
                  <w:r>
                    <w:t>Woodlands, Clayton le Moors</w:t>
                  </w:r>
                </w:p>
              </w:tc>
              <w:tc>
                <w:tcPr>
                  <w:tcW w:w="3042" w:type="dxa"/>
                </w:tcPr>
                <w:p w:rsidR="000E74CC" w:rsidP="000E74CC">
                  <w:pPr>
                    <w:jc w:val="center"/>
                    <w:outlineLvl w:val="0"/>
                  </w:pPr>
                  <w:r>
                    <w:t>1</w:t>
                  </w:r>
                </w:p>
              </w:tc>
              <w:tc>
                <w:tcPr>
                  <w:tcW w:w="3042" w:type="dxa"/>
                </w:tcPr>
                <w:p w:rsidR="000E74CC" w:rsidP="000E74CC">
                  <w:pPr>
                    <w:jc w:val="center"/>
                    <w:outlineLvl w:val="0"/>
                  </w:pPr>
                  <w:r>
                    <w:t>1</w:t>
                  </w:r>
                </w:p>
              </w:tc>
            </w:tr>
            <w:tr w:rsidTr="000E74CC">
              <w:tblPrEx>
                <w:tblW w:w="0" w:type="auto"/>
                <w:tblInd w:w="454" w:type="dxa"/>
                <w:tblLook w:val="04A0"/>
              </w:tblPrEx>
              <w:tc>
                <w:tcPr>
                  <w:tcW w:w="3041" w:type="dxa"/>
                </w:tcPr>
                <w:p w:rsidR="000E74CC" w:rsidP="000E74CC">
                  <w:pPr>
                    <w:jc w:val="both"/>
                    <w:outlineLvl w:val="0"/>
                  </w:pPr>
                  <w:r>
                    <w:t>Cravenside</w:t>
                  </w:r>
                  <w:r>
                    <w:t xml:space="preserve">, </w:t>
                  </w:r>
                  <w:r>
                    <w:t>Barnoldswick</w:t>
                  </w:r>
                </w:p>
              </w:tc>
              <w:tc>
                <w:tcPr>
                  <w:tcW w:w="3042" w:type="dxa"/>
                </w:tcPr>
                <w:p w:rsidR="000E74CC" w:rsidP="000E74CC">
                  <w:pPr>
                    <w:jc w:val="center"/>
                    <w:outlineLvl w:val="0"/>
                  </w:pPr>
                  <w:r>
                    <w:t>3</w:t>
                  </w:r>
                </w:p>
              </w:tc>
              <w:tc>
                <w:tcPr>
                  <w:tcW w:w="3042" w:type="dxa"/>
                </w:tcPr>
                <w:p w:rsidR="000E74CC" w:rsidP="000E74CC">
                  <w:pPr>
                    <w:jc w:val="center"/>
                    <w:outlineLvl w:val="0"/>
                  </w:pPr>
                  <w:r>
                    <w:t>4</w:t>
                  </w:r>
                </w:p>
              </w:tc>
            </w:tr>
            <w:tr w:rsidTr="000E74CC">
              <w:tblPrEx>
                <w:tblW w:w="0" w:type="auto"/>
                <w:tblInd w:w="454" w:type="dxa"/>
                <w:tblLook w:val="04A0"/>
              </w:tblPrEx>
              <w:tc>
                <w:tcPr>
                  <w:tcW w:w="3041" w:type="dxa"/>
                </w:tcPr>
                <w:p w:rsidR="000E74CC" w:rsidP="000E74CC">
                  <w:pPr>
                    <w:jc w:val="both"/>
                    <w:outlineLvl w:val="0"/>
                  </w:pPr>
                  <w:r>
                    <w:t>Favordale</w:t>
                  </w:r>
                  <w:r>
                    <w:t>, Colne</w:t>
                  </w:r>
                </w:p>
              </w:tc>
              <w:tc>
                <w:tcPr>
                  <w:tcW w:w="3042" w:type="dxa"/>
                </w:tcPr>
                <w:p w:rsidR="000E74CC" w:rsidP="000E74CC">
                  <w:pPr>
                    <w:jc w:val="center"/>
                    <w:outlineLvl w:val="0"/>
                  </w:pPr>
                  <w:r>
                    <w:t>1</w:t>
                  </w:r>
                </w:p>
              </w:tc>
              <w:tc>
                <w:tcPr>
                  <w:tcW w:w="3042" w:type="dxa"/>
                </w:tcPr>
                <w:p w:rsidR="000E74CC" w:rsidP="000E74CC">
                  <w:pPr>
                    <w:jc w:val="center"/>
                    <w:outlineLvl w:val="0"/>
                  </w:pPr>
                  <w:r>
                    <w:t>0</w:t>
                  </w:r>
                </w:p>
              </w:tc>
            </w:tr>
            <w:tr w:rsidTr="000E74CC">
              <w:tblPrEx>
                <w:tblW w:w="0" w:type="auto"/>
                <w:tblInd w:w="454" w:type="dxa"/>
                <w:tblLook w:val="04A0"/>
              </w:tblPrEx>
              <w:tc>
                <w:tcPr>
                  <w:tcW w:w="3041" w:type="dxa"/>
                </w:tcPr>
                <w:p w:rsidR="000E74CC" w:rsidP="000E74CC">
                  <w:pPr>
                    <w:jc w:val="both"/>
                    <w:outlineLvl w:val="0"/>
                  </w:pPr>
                  <w:r>
                    <w:t>Castleford, Clitheroe</w:t>
                  </w:r>
                </w:p>
              </w:tc>
              <w:tc>
                <w:tcPr>
                  <w:tcW w:w="3042" w:type="dxa"/>
                </w:tcPr>
                <w:p w:rsidR="000E74CC" w:rsidP="000E74CC">
                  <w:pPr>
                    <w:jc w:val="center"/>
                    <w:outlineLvl w:val="0"/>
                  </w:pPr>
                  <w:r>
                    <w:t>0</w:t>
                  </w:r>
                </w:p>
              </w:tc>
              <w:tc>
                <w:tcPr>
                  <w:tcW w:w="3042" w:type="dxa"/>
                </w:tcPr>
                <w:p w:rsidR="000E74CC" w:rsidP="000E74CC">
                  <w:pPr>
                    <w:jc w:val="center"/>
                    <w:outlineLvl w:val="0"/>
                  </w:pPr>
                  <w:r>
                    <w:t>1</w:t>
                  </w:r>
                </w:p>
              </w:tc>
            </w:tr>
            <w:tr w:rsidTr="000E74CC">
              <w:tblPrEx>
                <w:tblW w:w="0" w:type="auto"/>
                <w:tblInd w:w="454" w:type="dxa"/>
                <w:tblLook w:val="04A0"/>
              </w:tblPrEx>
              <w:tc>
                <w:tcPr>
                  <w:tcW w:w="3041" w:type="dxa"/>
                </w:tcPr>
                <w:p w:rsidR="000E74CC" w:rsidP="000E74CC">
                  <w:pPr>
                    <w:jc w:val="both"/>
                    <w:outlineLvl w:val="0"/>
                  </w:pPr>
                  <w:r>
                    <w:t xml:space="preserve">Olive House, </w:t>
                  </w:r>
                  <w:r>
                    <w:t>Bacup</w:t>
                  </w:r>
                </w:p>
              </w:tc>
              <w:tc>
                <w:tcPr>
                  <w:tcW w:w="3042" w:type="dxa"/>
                </w:tcPr>
                <w:p w:rsidR="000E74CC" w:rsidP="000E74CC">
                  <w:pPr>
                    <w:jc w:val="center"/>
                    <w:outlineLvl w:val="0"/>
                  </w:pPr>
                  <w:r>
                    <w:t>1</w:t>
                  </w:r>
                </w:p>
              </w:tc>
              <w:tc>
                <w:tcPr>
                  <w:tcW w:w="3042" w:type="dxa"/>
                </w:tcPr>
                <w:p w:rsidR="000E74CC" w:rsidP="000E74CC">
                  <w:pPr>
                    <w:jc w:val="center"/>
                    <w:outlineLvl w:val="0"/>
                  </w:pPr>
                  <w:r>
                    <w:t>0</w:t>
                  </w:r>
                </w:p>
              </w:tc>
            </w:tr>
            <w:tr w:rsidTr="000E74CC">
              <w:tblPrEx>
                <w:tblW w:w="0" w:type="auto"/>
                <w:tblInd w:w="454" w:type="dxa"/>
                <w:tblLook w:val="04A0"/>
              </w:tblPrEx>
              <w:tc>
                <w:tcPr>
                  <w:tcW w:w="3041" w:type="dxa"/>
                </w:tcPr>
                <w:p w:rsidR="000E74CC" w:rsidP="000E74CC">
                  <w:pPr>
                    <w:jc w:val="both"/>
                    <w:outlineLvl w:val="0"/>
                  </w:pPr>
                  <w:r>
                    <w:t xml:space="preserve">Total </w:t>
                  </w:r>
                </w:p>
              </w:tc>
              <w:tc>
                <w:tcPr>
                  <w:tcW w:w="3042" w:type="dxa"/>
                </w:tcPr>
                <w:p w:rsidR="000E74CC" w:rsidP="000E74CC">
                  <w:pPr>
                    <w:jc w:val="center"/>
                    <w:outlineLvl w:val="0"/>
                  </w:pPr>
                  <w:r>
                    <w:t>6</w:t>
                  </w:r>
                </w:p>
              </w:tc>
              <w:tc>
                <w:tcPr>
                  <w:tcW w:w="3042" w:type="dxa"/>
                </w:tcPr>
                <w:p w:rsidR="000E74CC" w:rsidP="000E74CC">
                  <w:pPr>
                    <w:jc w:val="center"/>
                    <w:outlineLvl w:val="0"/>
                  </w:pPr>
                  <w:r>
                    <w:t>11</w:t>
                  </w:r>
                </w:p>
              </w:tc>
            </w:tr>
          </w:tbl>
          <w:p w:rsidR="000E74CC" w:rsidP="000E74CC">
            <w:pPr>
              <w:ind w:left="454"/>
              <w:jc w:val="both"/>
              <w:outlineLvl w:val="0"/>
            </w:pPr>
          </w:p>
          <w:p w:rsidR="00E42D8D" w:rsidP="000E74CC">
            <w:pPr>
              <w:ind w:left="454"/>
              <w:jc w:val="both"/>
              <w:outlineLvl w:val="0"/>
            </w:pPr>
          </w:p>
          <w:p w:rsidR="000E74CC" w:rsidP="000E74CC">
            <w:pPr>
              <w:ind w:left="454"/>
              <w:jc w:val="both"/>
              <w:outlineLvl w:val="0"/>
            </w:pPr>
            <w:r>
              <w:t>Considering the independent sector care homes, there are 24 residential care homes for older people in Burnley.  As of 12</w:t>
            </w:r>
            <w:r w:rsidRPr="003205C3">
              <w:rPr>
                <w:vertAlign w:val="superscript"/>
              </w:rPr>
              <w:t>th</w:t>
            </w:r>
            <w:r>
              <w:t xml:space="preserve"> August 2018 these have a total of 40 residential and 14 dementia vacancies.  </w:t>
            </w:r>
          </w:p>
          <w:p w:rsidR="000E74CC" w:rsidP="000E74CC">
            <w:pPr>
              <w:ind w:left="454"/>
              <w:jc w:val="both"/>
              <w:outlineLvl w:val="0"/>
            </w:pPr>
            <w:r>
              <w:t>Current CQC ratings for these homes in total are</w:t>
            </w:r>
          </w:p>
          <w:tbl>
            <w:tblPr>
              <w:tblStyle w:val="TableGrid"/>
              <w:tblW w:w="0" w:type="auto"/>
              <w:tblInd w:w="454" w:type="dxa"/>
              <w:tblLook w:val="04A0"/>
            </w:tblPr>
            <w:tblGrid>
              <w:gridCol w:w="4245"/>
              <w:gridCol w:w="4091"/>
            </w:tblGrid>
            <w:tr w:rsidTr="000E74CC">
              <w:tblPrEx>
                <w:tblW w:w="0" w:type="auto"/>
                <w:tblInd w:w="454" w:type="dxa"/>
                <w:tblLook w:val="04A0"/>
              </w:tblPrEx>
              <w:tc>
                <w:tcPr>
                  <w:tcW w:w="4562" w:type="dxa"/>
                </w:tcPr>
                <w:p w:rsidR="000E74CC" w:rsidP="000E74CC">
                  <w:pPr>
                    <w:jc w:val="both"/>
                    <w:outlineLvl w:val="0"/>
                  </w:pPr>
                  <w:r>
                    <w:t>Outstanding</w:t>
                  </w:r>
                </w:p>
              </w:tc>
              <w:tc>
                <w:tcPr>
                  <w:tcW w:w="4563" w:type="dxa"/>
                </w:tcPr>
                <w:p w:rsidR="000E74CC" w:rsidP="000E74CC">
                  <w:pPr>
                    <w:jc w:val="center"/>
                    <w:outlineLvl w:val="0"/>
                  </w:pPr>
                  <w:r>
                    <w:t>0</w:t>
                  </w:r>
                </w:p>
              </w:tc>
            </w:tr>
            <w:tr w:rsidTr="000E74CC">
              <w:tblPrEx>
                <w:tblW w:w="0" w:type="auto"/>
                <w:tblInd w:w="454" w:type="dxa"/>
                <w:tblLook w:val="04A0"/>
              </w:tblPrEx>
              <w:tc>
                <w:tcPr>
                  <w:tcW w:w="4562" w:type="dxa"/>
                </w:tcPr>
                <w:p w:rsidR="000E74CC" w:rsidP="000E74CC">
                  <w:pPr>
                    <w:jc w:val="both"/>
                    <w:outlineLvl w:val="0"/>
                  </w:pPr>
                  <w:r>
                    <w:t>Good</w:t>
                  </w:r>
                </w:p>
              </w:tc>
              <w:tc>
                <w:tcPr>
                  <w:tcW w:w="4563" w:type="dxa"/>
                </w:tcPr>
                <w:p w:rsidR="000E74CC" w:rsidP="000E74CC">
                  <w:pPr>
                    <w:jc w:val="center"/>
                    <w:outlineLvl w:val="0"/>
                  </w:pPr>
                  <w:r>
                    <w:t>17</w:t>
                  </w:r>
                </w:p>
              </w:tc>
            </w:tr>
            <w:tr w:rsidTr="000E74CC">
              <w:tblPrEx>
                <w:tblW w:w="0" w:type="auto"/>
                <w:tblInd w:w="454" w:type="dxa"/>
                <w:tblLook w:val="04A0"/>
              </w:tblPrEx>
              <w:tc>
                <w:tcPr>
                  <w:tcW w:w="4562" w:type="dxa"/>
                </w:tcPr>
                <w:p w:rsidR="000E74CC" w:rsidP="000E74CC">
                  <w:pPr>
                    <w:jc w:val="both"/>
                    <w:outlineLvl w:val="0"/>
                  </w:pPr>
                  <w:r>
                    <w:t>Requires Improvement</w:t>
                  </w:r>
                </w:p>
              </w:tc>
              <w:tc>
                <w:tcPr>
                  <w:tcW w:w="4563" w:type="dxa"/>
                </w:tcPr>
                <w:p w:rsidR="000E74CC" w:rsidP="000E74CC">
                  <w:pPr>
                    <w:jc w:val="center"/>
                    <w:outlineLvl w:val="0"/>
                  </w:pPr>
                  <w:r>
                    <w:t>7</w:t>
                  </w:r>
                </w:p>
              </w:tc>
            </w:tr>
            <w:tr w:rsidTr="000E74CC">
              <w:tblPrEx>
                <w:tblW w:w="0" w:type="auto"/>
                <w:tblInd w:w="454" w:type="dxa"/>
                <w:tblLook w:val="04A0"/>
              </w:tblPrEx>
              <w:tc>
                <w:tcPr>
                  <w:tcW w:w="4562" w:type="dxa"/>
                </w:tcPr>
                <w:p w:rsidR="000E74CC" w:rsidP="000E74CC">
                  <w:pPr>
                    <w:jc w:val="both"/>
                    <w:outlineLvl w:val="0"/>
                  </w:pPr>
                  <w:r>
                    <w:t>Inadequate</w:t>
                  </w:r>
                </w:p>
              </w:tc>
              <w:tc>
                <w:tcPr>
                  <w:tcW w:w="4563" w:type="dxa"/>
                </w:tcPr>
                <w:p w:rsidR="000E74CC" w:rsidP="000E74CC">
                  <w:pPr>
                    <w:jc w:val="center"/>
                    <w:outlineLvl w:val="0"/>
                  </w:pPr>
                  <w:r>
                    <w:t>0</w:t>
                  </w:r>
                </w:p>
              </w:tc>
            </w:tr>
          </w:tbl>
          <w:p w:rsidR="000E74CC" w:rsidP="000E74CC">
            <w:pPr>
              <w:ind w:left="454"/>
              <w:jc w:val="both"/>
              <w:outlineLvl w:val="0"/>
            </w:pPr>
          </w:p>
          <w:p w:rsidR="000E74CC" w:rsidRPr="00204EBE" w:rsidP="000E74CC">
            <w:pPr>
              <w:ind w:left="454"/>
              <w:jc w:val="both"/>
              <w:outlineLvl w:val="0"/>
              <w:rPr>
                <w:u w:val="single"/>
              </w:rPr>
            </w:pPr>
            <w:r w:rsidRPr="00204EBE">
              <w:rPr>
                <w:u w:val="single"/>
              </w:rPr>
              <w:t>Impact on Current Residents and Families</w:t>
            </w:r>
          </w:p>
          <w:p w:rsidR="000E74CC" w:rsidP="000E74CC">
            <w:pPr>
              <w:ind w:left="360"/>
              <w:jc w:val="both"/>
            </w:pPr>
            <w:r>
              <w:t xml:space="preserve">The current residents' care needs could be met in alternative residential care settings which offer a similar 'Good' quality of service.  However it must be acknowledged that Lower Ridge is 'home' for the residents and they would be moving to another community, with mostly different residents and staff, leaving behind some, perhaps many, of their fellow residents and the staff with whom they may well have developed significant relationships.  </w:t>
            </w:r>
          </w:p>
          <w:p w:rsidR="000E74CC" w:rsidP="000E74CC">
            <w:pPr>
              <w:ind w:left="360"/>
              <w:jc w:val="both"/>
            </w:pPr>
            <w:r>
              <w:t xml:space="preserve">Even a carefully planned and sensitive closure process is likely to create anxiety, sadness or concern amongst some of the older people resident at Lower Ridge.   Their relatives, visitors or advocates, as well as the staff at Lower Ridge, may share some of those feelings. </w:t>
            </w:r>
          </w:p>
          <w:p w:rsidR="000E74CC" w:rsidP="000E74CC">
            <w:pPr>
              <w:ind w:left="360"/>
              <w:jc w:val="both"/>
            </w:pPr>
            <w:r>
              <w:t>Residents would also move, albeit probably only a few miles, from their present neighbourhood and some of their relatives may experience some added inconvenience in travelling to a new location to visit them. For some this may be significant.   However, it is possible that for others a move may make it easier for relatives to visit.</w:t>
            </w:r>
          </w:p>
          <w:p w:rsidR="000E74CC" w:rsidP="000E74CC">
            <w:pPr>
              <w:ind w:left="360"/>
              <w:jc w:val="both"/>
            </w:pPr>
            <w:r>
              <w:t xml:space="preserve">So although every care would be taken to minimise the impact it must be recognised that if this home closure goes ahead it is likely to be highly upsetting for some people. </w:t>
            </w:r>
          </w:p>
          <w:p w:rsidR="0029450C" w:rsidP="000E74CC">
            <w:pPr>
              <w:ind w:left="454"/>
            </w:pPr>
            <w:r>
              <w:t>There is a possibility that the physical move to another residential home could be detrimental to a resident particularly if the move were to take place in adverse circumstances such as in the midst of a harsh winter.</w:t>
            </w:r>
          </w:p>
          <w:p w:rsidR="000E74CC" w:rsidP="000E74CC">
            <w:pPr>
              <w:ind w:left="454"/>
            </w:pPr>
            <w:r>
              <w:br/>
              <w:t>There may not be places immediately available in the homes which residents and/or their families would prefer to move – whether County Council homes or those run in the independent sector.</w:t>
            </w:r>
          </w:p>
          <w:p w:rsidR="000E74CC" w:rsidP="000E74CC">
            <w:pPr>
              <w:ind w:left="454"/>
            </w:pPr>
            <w:r>
              <w:t>Depending on where an individual resident moves it may also require that new arrangements with GPs and other primary care services are established, therefore impacting in the short term on the continuity of care of some individuals.</w:t>
            </w:r>
          </w:p>
          <w:p w:rsidR="000E74CC" w:rsidP="000E74CC">
            <w:pPr>
              <w:ind w:left="454"/>
            </w:pPr>
            <w:r>
              <w:t>Sometimes the fees in other care homes will be higher than those charged at Lower Ridge, and this may impact on the financial resources of individuals or their families.</w:t>
            </w:r>
          </w:p>
          <w:p w:rsidR="000E74CC" w:rsidP="000E74CC"/>
        </w:tc>
      </w:tr>
    </w:tbl>
    <w:p w:rsidR="000E74CC" w:rsidRPr="00884B56" w:rsidP="000E74CC"/>
    <w:p w:rsidR="000E74CC" w:rsidP="000E74CC">
      <w:pPr>
        <w:outlineLvl w:val="0"/>
        <w:rPr>
          <w:b/>
        </w:rPr>
      </w:pPr>
      <w:r w:rsidRPr="00A07547">
        <w:rPr>
          <w:b/>
        </w:rPr>
        <w:t xml:space="preserve">Question </w:t>
      </w:r>
      <w:r>
        <w:rPr>
          <w:b/>
        </w:rPr>
        <w:t>6 –Combined/Cumulative Effect</w:t>
      </w:r>
    </w:p>
    <w:p w:rsidR="000E74CC" w:rsidP="000E74CC">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0E74C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0E74CC" w:rsidP="000E74CC">
            <w:r>
              <w:t>No other imminent changes have been identified at this stage which may impact adversely on affected people.</w:t>
            </w:r>
          </w:p>
          <w:p w:rsidR="000E74CC" w:rsidP="000E74CC">
            <w:r>
              <w:t>Government is scheduled to publish a Green Paper on the future of Social Care in the autumn 2018.  This may have an impact on wider resourcing and models of care and support for older people, but its implementation will be some years away and it is too difficult at this stage to speculate on what it may mean for older people in Burnley.</w:t>
            </w:r>
          </w:p>
          <w:p w:rsidR="000E74CC" w:rsidRPr="003C2620" w:rsidP="000E74CC"/>
        </w:tc>
      </w:tr>
    </w:tbl>
    <w:p w:rsidR="000E74CC" w:rsidP="000E74CC">
      <w:pPr>
        <w:rPr>
          <w:b/>
        </w:rPr>
      </w:pPr>
    </w:p>
    <w:p w:rsidR="00B11A88" w:rsidP="000E74CC">
      <w:pPr>
        <w:rPr>
          <w:b/>
        </w:rPr>
      </w:pPr>
    </w:p>
    <w:p w:rsidR="000E74CC" w:rsidP="000E74CC">
      <w:pPr>
        <w:outlineLvl w:val="0"/>
        <w:rPr>
          <w:b/>
        </w:rPr>
      </w:pPr>
      <w:r>
        <w:rPr>
          <w:b/>
        </w:rPr>
        <w:t>Question 7 – Identifying Initial Results of Your Analysis</w:t>
      </w:r>
    </w:p>
    <w:p w:rsidR="000E74CC" w:rsidP="000E74CC">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E74CC" w:rsidP="000E74CC">
            <w:pPr>
              <w:rPr>
                <w:noProof/>
              </w:rPr>
            </w:pPr>
            <w:r>
              <w:rPr>
                <w:noProof/>
              </w:rPr>
              <w:t>The proposal was originally formulated with the benefit of experience of earlier closures and local and national guidance together with the Council's professional duty of care.  But careful note has also been taken of the results of the consultation process and of the opportunty presented by the development of the County Council's draft Housing with Care  Strategy 2018-2025.</w:t>
            </w:r>
          </w:p>
          <w:p w:rsidR="000E74CC" w:rsidP="000E74CC">
            <w:pPr>
              <w:rPr>
                <w:noProof/>
              </w:rPr>
            </w:pPr>
            <w:r>
              <w:rPr>
                <w:noProof/>
              </w:rPr>
              <w:t>This has led to addition of some additional recommendations that could be agreed if the decision is to close Lower Ridge as follows:</w:t>
            </w:r>
          </w:p>
          <w:p w:rsidR="00FC3B63" w:rsidP="00FC3B63">
            <w:pPr>
              <w:rPr>
                <w:noProof/>
              </w:rPr>
            </w:pPr>
            <w:r>
              <w:rPr>
                <w:noProof/>
              </w:rPr>
              <w:t>The proposal was originally formulated with the benefit of experience of earlier closures and local and national guidance together with the Council's professional duty of care.  But careful note has also been taken of the results of the consultation process and of the opportunty presented by the development of the County Council's draft Extra Care strategy.</w:t>
            </w:r>
          </w:p>
          <w:p w:rsidR="00FC3B63" w:rsidP="00FC3B63">
            <w:pPr>
              <w:rPr>
                <w:noProof/>
              </w:rPr>
            </w:pPr>
            <w:r>
              <w:rPr>
                <w:noProof/>
              </w:rPr>
              <w:t>This has led to addition of four additional recommendations that could be agreed if the decision is made to close Lower Ridge.  These are as follows:</w:t>
            </w:r>
          </w:p>
          <w:p w:rsidR="00FC3B63" w:rsidP="00FC3B63">
            <w:pPr>
              <w:rPr>
                <w:noProof/>
              </w:rPr>
            </w:pPr>
            <w:r>
              <w:rPr>
                <w:noProof/>
              </w:rPr>
              <w:t xml:space="preserve">To support existing residents </w:t>
            </w:r>
          </w:p>
          <w:p w:rsidR="00FC3B63" w:rsidP="00FC3B63">
            <w:pPr>
              <w:pStyle w:val="ListParagraph"/>
              <w:numPr>
                <w:ilvl w:val="0"/>
                <w:numId w:val="14"/>
              </w:numPr>
              <w:rPr>
                <w:noProof/>
              </w:rPr>
            </w:pPr>
            <w:r>
              <w:rPr>
                <w:noProof/>
              </w:rPr>
              <w:t>Ensure the timescale for closure is senstively managed.  Too long a period would creat uncertainty and risk operational effectiveness deterioating, but it is vital that individuals have the time they need to take such important decisions about their future</w:t>
            </w:r>
          </w:p>
          <w:p w:rsidR="00FC3B63" w:rsidP="00FC3B63">
            <w:pPr>
              <w:pStyle w:val="ListParagraph"/>
              <w:numPr>
                <w:ilvl w:val="0"/>
                <w:numId w:val="14"/>
              </w:numPr>
              <w:rPr>
                <w:noProof/>
              </w:rPr>
            </w:pPr>
            <w:r>
              <w:rPr>
                <w:noProof/>
              </w:rPr>
              <w:t>Hold vacancies in any Lancashire County Council care homes in East Lancashire until families and/or advocates have had an opportunity to visit and consider their suitability for their own relative curently resident in Lower Ridge</w:t>
            </w:r>
          </w:p>
          <w:p w:rsidR="00FC3B63" w:rsidP="00FC3B63">
            <w:pPr>
              <w:pStyle w:val="ListParagraph"/>
              <w:numPr>
                <w:ilvl w:val="0"/>
                <w:numId w:val="14"/>
              </w:numPr>
              <w:rPr>
                <w:noProof/>
              </w:rPr>
            </w:pPr>
            <w:r>
              <w:rPr>
                <w:noProof/>
              </w:rPr>
              <w:t xml:space="preserve">Endorse the use of reasonable discretion and flexibilty by the Head of Service (Community) and onwards to Area Operations </w:t>
            </w:r>
            <w:r>
              <w:rPr>
                <w:noProof/>
              </w:rPr>
              <w:t xml:space="preserve">Manager in negotiating fee rates payable in whole or part by the County Council </w:t>
            </w:r>
          </w:p>
          <w:p w:rsidR="000E74CC" w:rsidP="00A7410C">
            <w:pPr>
              <w:spacing w:after="0" w:line="240" w:lineRule="auto"/>
              <w:ind w:left="1163" w:hanging="850"/>
            </w:pPr>
            <w:r>
              <w:rPr>
                <w:noProof/>
              </w:rPr>
              <w:t>To address the concerns of consultees and statutory partners regarding the availability of services that meet the longer term needs of the older population of Burnley, it is further proposed that the County Council makes it a priority to develop Extra Care Services for older people in Burnley</w:t>
            </w:r>
          </w:p>
        </w:tc>
      </w:tr>
    </w:tbl>
    <w:p w:rsidR="000E74CC" w:rsidP="000E74CC"/>
    <w:p w:rsidR="000E74CC" w:rsidRPr="00C14AAF" w:rsidP="000E74CC">
      <w:pPr>
        <w:outlineLvl w:val="0"/>
        <w:rPr>
          <w:b/>
        </w:rPr>
      </w:pPr>
      <w:r w:rsidRPr="00C14AAF">
        <w:rPr>
          <w:b/>
        </w:rPr>
        <w:t xml:space="preserve">Question </w:t>
      </w:r>
      <w:r>
        <w:rPr>
          <w:b/>
        </w:rPr>
        <w:t>8 - Mitigation</w:t>
      </w:r>
    </w:p>
    <w:p w:rsidR="000E74CC" w:rsidP="000E74CC">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812817" w:rsidP="000E74CC">
            <w:pPr>
              <w:jc w:val="both"/>
            </w:pPr>
            <w:r>
              <w:t xml:space="preserve">There is extensive experience in Adult Services of relocating older people from the implementation of previous care home change programmes over the last 15 years. </w:t>
            </w:r>
          </w:p>
          <w:p w:rsidR="000E74CC" w:rsidP="000E74CC">
            <w:pPr>
              <w:jc w:val="both"/>
            </w:pPr>
            <w:r>
              <w:t xml:space="preserve">In addition, County Council staff also regularly play a lead role in home closures that arise in the independent sector.  There are established protocols and a guidance for managing such closures. </w:t>
            </w:r>
          </w:p>
          <w:p w:rsidR="000E74CC" w:rsidP="000E74CC">
            <w:pPr>
              <w:jc w:val="both"/>
            </w:pPr>
            <w:r>
              <w:t>If a decision is ultimately taken to close Lower Ridge, the management of the relocation process will build on the experience and learning from similar occurrences in the past.  The following would be key measures</w:t>
            </w:r>
          </w:p>
          <w:p w:rsidR="000E74CC" w:rsidP="000E74CC">
            <w:pPr>
              <w:numPr>
                <w:ilvl w:val="0"/>
                <w:numId w:val="8"/>
              </w:numPr>
              <w:spacing w:after="0" w:line="240" w:lineRule="auto"/>
              <w:ind w:left="360"/>
              <w:jc w:val="both"/>
            </w:pPr>
            <w:r>
              <w:t>The closure would take place in a spirit of full and open co-operation between the County Council, healthcare practitioners, families and other stakeholders.</w:t>
            </w:r>
          </w:p>
          <w:p w:rsidR="000E74CC" w:rsidP="000E74CC">
            <w:pPr>
              <w:jc w:val="both"/>
            </w:pPr>
          </w:p>
          <w:p w:rsidR="000E74CC" w:rsidP="000E74CC">
            <w:pPr>
              <w:numPr>
                <w:ilvl w:val="0"/>
                <w:numId w:val="8"/>
              </w:numPr>
              <w:spacing w:after="0" w:line="240" w:lineRule="auto"/>
              <w:ind w:left="360"/>
              <w:jc w:val="both"/>
            </w:pPr>
            <w:r>
              <w:t>All current residents at Lower Ridge would have an Adult Social Care re-assessment in order to determine current needs.</w:t>
            </w:r>
          </w:p>
          <w:p w:rsidR="000E74CC" w:rsidP="000E74CC">
            <w:pPr>
              <w:pStyle w:val="ListParagraph"/>
              <w:ind w:left="360"/>
            </w:pPr>
          </w:p>
          <w:p w:rsidR="000E74CC" w:rsidP="000E74CC">
            <w:pPr>
              <w:numPr>
                <w:ilvl w:val="0"/>
                <w:numId w:val="8"/>
              </w:numPr>
              <w:spacing w:after="0" w:line="240" w:lineRule="auto"/>
              <w:ind w:left="360"/>
              <w:jc w:val="both"/>
            </w:pPr>
            <w:r>
              <w:t>All residents would be given a choice over where they wish to move to.</w:t>
            </w:r>
          </w:p>
          <w:p w:rsidR="000E74CC" w:rsidP="000E74CC">
            <w:pPr>
              <w:jc w:val="both"/>
            </w:pPr>
          </w:p>
          <w:p w:rsidR="000E74CC" w:rsidP="000E74CC">
            <w:pPr>
              <w:numPr>
                <w:ilvl w:val="0"/>
                <w:numId w:val="8"/>
              </w:numPr>
              <w:spacing w:after="0" w:line="240" w:lineRule="auto"/>
              <w:ind w:left="360"/>
              <w:jc w:val="both"/>
            </w:pPr>
            <w:r>
              <w:t xml:space="preserve">If a resident wishes to remain in a County Council care home, we would hold a vacancy in the relevant home to ensure a move can take place in a timely way. </w:t>
            </w:r>
          </w:p>
          <w:p w:rsidR="000E74CC" w:rsidP="000E74CC">
            <w:pPr>
              <w:pStyle w:val="ListParagraph"/>
            </w:pPr>
          </w:p>
          <w:p w:rsidR="000E74CC" w:rsidP="000E74CC">
            <w:pPr>
              <w:numPr>
                <w:ilvl w:val="0"/>
                <w:numId w:val="8"/>
              </w:numPr>
              <w:spacing w:after="0" w:line="240" w:lineRule="auto"/>
              <w:ind w:left="360"/>
              <w:jc w:val="both"/>
            </w:pPr>
            <w:r>
              <w:t>Other local LCC homes would stop any new admissions as soon as management is advised that Lower Ridge is to close.  This is in order to minimise the numbers of older people potentially affected if the closure does eventually go ahead.  To ensure there is no ambiguity about this, this is included in the report's recommendations to Cabinet</w:t>
            </w:r>
          </w:p>
          <w:p w:rsidR="000E74CC" w:rsidP="000E74CC">
            <w:pPr>
              <w:jc w:val="both"/>
            </w:pPr>
          </w:p>
          <w:p w:rsidR="000E74CC" w:rsidP="000E74CC">
            <w:pPr>
              <w:numPr>
                <w:ilvl w:val="0"/>
                <w:numId w:val="8"/>
              </w:numPr>
              <w:spacing w:after="0" w:line="240" w:lineRule="auto"/>
              <w:ind w:left="360"/>
              <w:jc w:val="both"/>
            </w:pPr>
            <w:r>
              <w:t>If an existing resident wishes to remain as close as possible to their existing locality, he/she may need a place in an independent sector care home. In such cases the Council would consider whether to pay any additional 'top up' costs for particular older people if those are needed.  Again to ensure there is no ambiguity or doubt about this, it is included in the report's recommendations to Cabinet.</w:t>
            </w:r>
          </w:p>
          <w:p w:rsidR="000E74CC" w:rsidP="000E74CC">
            <w:pPr>
              <w:jc w:val="both"/>
            </w:pPr>
          </w:p>
          <w:p w:rsidR="000E74CC" w:rsidP="000E74CC">
            <w:pPr>
              <w:numPr>
                <w:ilvl w:val="0"/>
                <w:numId w:val="8"/>
              </w:numPr>
              <w:spacing w:after="0" w:line="240" w:lineRule="auto"/>
              <w:ind w:left="360"/>
              <w:jc w:val="both"/>
            </w:pPr>
            <w:r>
              <w:t>Residents may request to move in 'friendship groups' and this will be facilitated, where possible.  Given the current level of vacancies in the care home sector in East Lancashire, this may be realistic and has been successfully achieved in the past.</w:t>
            </w:r>
          </w:p>
          <w:p w:rsidR="000E74CC" w:rsidP="000E74CC">
            <w:pPr>
              <w:jc w:val="both"/>
            </w:pPr>
          </w:p>
          <w:p w:rsidR="000E74CC" w:rsidP="000E74CC">
            <w:pPr>
              <w:numPr>
                <w:ilvl w:val="0"/>
                <w:numId w:val="8"/>
              </w:numPr>
              <w:spacing w:after="0" w:line="240" w:lineRule="auto"/>
              <w:ind w:left="360"/>
              <w:jc w:val="both"/>
            </w:pPr>
            <w:r>
              <w:t>Staff could have the opportunity and be encouraged, where possible, to be redeployed with residents to nearby County Council homes.  This would support existing Lower Ridge residents settling into their new homes.</w:t>
            </w:r>
          </w:p>
          <w:p w:rsidR="000E74CC" w:rsidP="000E74CC">
            <w:pPr>
              <w:pStyle w:val="ListParagraph"/>
            </w:pPr>
          </w:p>
          <w:p w:rsidR="000E74CC" w:rsidP="000E74CC">
            <w:pPr>
              <w:numPr>
                <w:ilvl w:val="0"/>
                <w:numId w:val="8"/>
              </w:numPr>
              <w:spacing w:after="0" w:line="240" w:lineRule="auto"/>
              <w:ind w:left="360"/>
              <w:jc w:val="both"/>
            </w:pPr>
            <w:r>
              <w:t>The County Council would regularly review progress and outcomes for each older person for 12 months following their move to assist in settling in, or determine whether further changes are required.</w:t>
            </w:r>
          </w:p>
          <w:p w:rsidR="000E74CC" w:rsidP="000E74CC">
            <w:pPr>
              <w:jc w:val="both"/>
              <w:rPr>
                <w:szCs w:val="24"/>
              </w:rPr>
            </w:pPr>
          </w:p>
          <w:p w:rsidR="000E74CC" w:rsidP="000E74CC">
            <w:pPr>
              <w:jc w:val="both"/>
              <w:outlineLvl w:val="0"/>
            </w:pPr>
            <w:r>
              <w:t>In terms of local alternatives, as of August 2018 there were 24 Care Quality Commission registered care homes in Burnley offering accommodation for older people.  As of 12</w:t>
            </w:r>
            <w:r w:rsidRPr="003205C3">
              <w:rPr>
                <w:vertAlign w:val="superscript"/>
              </w:rPr>
              <w:t>th</w:t>
            </w:r>
            <w:r>
              <w:t xml:space="preserve"> August 2018 these have a total of 40 residential and 14 dementia vacancies but this number obviously fluctuates on a week by week basis.</w:t>
            </w:r>
          </w:p>
          <w:p w:rsidR="000E74CC" w:rsidP="000E74CC">
            <w:pPr>
              <w:jc w:val="both"/>
              <w:outlineLvl w:val="0"/>
            </w:pPr>
            <w:r>
              <w:t xml:space="preserve">In addition the nearest County Council home is 3.7 miles away with a further 5 County Council homes within a 12 mile radius of Lower Ridge. </w:t>
            </w:r>
          </w:p>
          <w:p w:rsidR="000E74CC" w:rsidRPr="003C2620" w:rsidP="000E74CC"/>
        </w:tc>
      </w:tr>
    </w:tbl>
    <w:p w:rsidR="000E74CC" w:rsidP="000E74CC">
      <w:pPr>
        <w:rPr>
          <w:b/>
        </w:rPr>
      </w:pPr>
    </w:p>
    <w:p w:rsidR="000E74CC" w:rsidP="000E74CC">
      <w:pPr>
        <w:outlineLvl w:val="0"/>
        <w:rPr>
          <w:b/>
        </w:rPr>
      </w:pPr>
      <w:r>
        <w:rPr>
          <w:b/>
        </w:rPr>
        <w:t>Question 9 – Balancing the Proposal/Countervailing Factors</w:t>
      </w:r>
    </w:p>
    <w:p w:rsidR="000E74CC" w:rsidP="000E74CC">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E74CC" w:rsidP="000E74CC">
            <w:pPr>
              <w:outlineLvl w:val="0"/>
            </w:pPr>
            <w:r>
              <w:t>There is agreement within the county council from both a care and property perspective that this home cannot continue to operate in its present state for much longer without significant investment.  It falls short of expected standards of care in terms of layout and the fabric of the building will require significant expenditure imminently to maintain a suitable and safe environment for residents.</w:t>
            </w:r>
          </w:p>
          <w:p w:rsidR="000E74CC" w:rsidP="000E74CC">
            <w:pPr>
              <w:outlineLvl w:val="0"/>
            </w:pPr>
            <w:r w:rsidRPr="001C72AC">
              <w:t xml:space="preserve">In the context of the </w:t>
            </w:r>
            <w:r>
              <w:t xml:space="preserve">scale of the financial challenge facing the Council the retention of the home in its present condition and with current levels of occupancy will mean that losses </w:t>
            </w:r>
            <w:r w:rsidRPr="001C72AC">
              <w:t xml:space="preserve">of </w:t>
            </w:r>
            <w:r>
              <w:t xml:space="preserve">circa </w:t>
            </w:r>
            <w:r w:rsidRPr="001C72AC">
              <w:t>£</w:t>
            </w:r>
            <w:r>
              <w:t>374,000</w:t>
            </w:r>
            <w:bookmarkStart w:id="0" w:name="_GoBack"/>
            <w:bookmarkEnd w:id="0"/>
            <w:r w:rsidRPr="001C72AC">
              <w:t xml:space="preserve"> per annum</w:t>
            </w:r>
            <w:r>
              <w:t xml:space="preserve"> (out turn 2017/18)</w:t>
            </w:r>
            <w:r w:rsidRPr="001C72AC">
              <w:t xml:space="preserve"> </w:t>
            </w:r>
            <w:r>
              <w:t>will continue to be incurred. These losses will therefore have to be funded by the Council either from other Older People Services income or by a subsidy arrangement from elsewhere within the Council's budget.  However, in any event the need for investment means that capital funding would be needed to allow the homes to continue to operate.</w:t>
            </w:r>
          </w:p>
          <w:p w:rsidR="000E74CC" w:rsidP="000E74CC">
            <w:pPr>
              <w:outlineLvl w:val="0"/>
            </w:pPr>
            <w:r>
              <w:t>In 2012 four options were considered for investment in Lower Ridge.  These were (a) refurbish at existing capacity, (b) increase capacity within the site constraints to potentially lower the average  costs per place (c) undertake a new build on site or (d) undertake a new build at another site in Burnley</w:t>
            </w:r>
          </w:p>
          <w:p w:rsidR="000E74CC" w:rsidP="000E74CC">
            <w:pPr>
              <w:outlineLvl w:val="0"/>
            </w:pPr>
            <w:r>
              <w:t>In 2012 the following capital costs were estimated for these options</w:t>
            </w:r>
          </w:p>
          <w:p w:rsidR="000E74CC" w:rsidP="000E74CC">
            <w:pPr>
              <w:outlineLvl w:val="0"/>
            </w:pPr>
            <w:r>
              <w:t>Lower Ridge</w:t>
            </w:r>
          </w:p>
          <w:p w:rsidR="000E74CC" w:rsidP="000E74CC">
            <w:pPr>
              <w:outlineLvl w:val="0"/>
            </w:pPr>
            <w:r>
              <w:t>a. Refurbish (existing places 35) £2.470m</w:t>
            </w:r>
          </w:p>
          <w:p w:rsidR="000E74CC" w:rsidP="000E74CC">
            <w:pPr>
              <w:outlineLvl w:val="0"/>
            </w:pPr>
            <w:r>
              <w:t>b. Refurbish (increased places to  48) £2.89m</w:t>
            </w:r>
          </w:p>
          <w:p w:rsidR="000E74CC" w:rsidP="000E74CC">
            <w:pPr>
              <w:outlineLvl w:val="0"/>
            </w:pPr>
            <w:r>
              <w:t xml:space="preserve">c. New build (places for 48 residents) on existing site £5.12m </w:t>
            </w:r>
            <w:r>
              <w:br/>
              <w:t>d. New build off site (places for 70 residents) £5.37m</w:t>
            </w:r>
          </w:p>
          <w:p w:rsidR="000E74CC" w:rsidP="000E74CC">
            <w:pPr>
              <w:outlineLvl w:val="0"/>
            </w:pPr>
            <w:r>
              <w:t>All these costs would have risen significantly in the years since these estimates were presented.  Current 2018 estimates indicate a more realistic figure for a new build might be over £8m.</w:t>
            </w:r>
          </w:p>
          <w:p w:rsidR="000E74CC" w:rsidP="000E74CC">
            <w:pPr>
              <w:jc w:val="both"/>
              <w:rPr>
                <w:rFonts w:cs="Arial"/>
                <w:color w:val="000000" w:themeColor="text1"/>
                <w:szCs w:val="28"/>
              </w:rPr>
            </w:pPr>
            <w:r>
              <w:t xml:space="preserve">The business case for choosing any of the above options is very weak. With regard to options (a) and (b), </w:t>
            </w:r>
            <w:r w:rsidRPr="00646693">
              <w:rPr>
                <w:szCs w:val="28"/>
              </w:rPr>
              <w:t>t</w:t>
            </w:r>
            <w:r w:rsidRPr="00646693">
              <w:rPr>
                <w:rFonts w:cs="Arial"/>
                <w:color w:val="000000" w:themeColor="text1"/>
                <w:szCs w:val="28"/>
              </w:rPr>
              <w:t>h</w:t>
            </w:r>
            <w:r>
              <w:rPr>
                <w:rFonts w:cs="Arial"/>
                <w:color w:val="000000" w:themeColor="text1"/>
                <w:szCs w:val="28"/>
              </w:rPr>
              <w:t>ese</w:t>
            </w:r>
            <w:r w:rsidRPr="00646693">
              <w:rPr>
                <w:rFonts w:cs="Arial"/>
                <w:color w:val="000000" w:themeColor="text1"/>
                <w:szCs w:val="28"/>
              </w:rPr>
              <w:t xml:space="preserve"> would not provide the best long term and cost effective solution but it would be possible to make some improvements </w:t>
            </w:r>
            <w:r>
              <w:rPr>
                <w:rFonts w:cs="Arial"/>
                <w:color w:val="000000" w:themeColor="text1"/>
                <w:szCs w:val="28"/>
              </w:rPr>
              <w:t xml:space="preserve">and even expand </w:t>
            </w:r>
            <w:r w:rsidRPr="00646693">
              <w:rPr>
                <w:rFonts w:cs="Arial"/>
                <w:color w:val="000000" w:themeColor="text1"/>
                <w:szCs w:val="28"/>
              </w:rPr>
              <w:t>to the current building</w:t>
            </w:r>
            <w:r w:rsidRPr="00646693">
              <w:rPr>
                <w:szCs w:val="28"/>
              </w:rPr>
              <w:t xml:space="preserve">.  </w:t>
            </w:r>
            <w:r w:rsidRPr="00646693">
              <w:rPr>
                <w:rFonts w:cs="Arial"/>
                <w:color w:val="000000" w:themeColor="text1"/>
                <w:szCs w:val="28"/>
              </w:rPr>
              <w:t>However the scale of the structural work required and the time it would take to complete we still believe make it unrealistic, impractical and unsafe for current residents to stay living at Lower Ridge during this work. So if major work was to be undertaken at Lower Ridge as an alternative to a complete rebuild, it would still require the current residents to move to live at another care home or place where their needs can be safely met.</w:t>
            </w:r>
            <w:r>
              <w:rPr>
                <w:rFonts w:cs="Arial"/>
                <w:color w:val="000000" w:themeColor="text1"/>
                <w:szCs w:val="28"/>
              </w:rPr>
              <w:t xml:space="preserve"> </w:t>
            </w:r>
          </w:p>
          <w:p w:rsidR="000E74CC" w:rsidP="000E74CC">
            <w:pPr>
              <w:jc w:val="both"/>
              <w:rPr>
                <w:rFonts w:cs="Arial"/>
                <w:color w:val="000000" w:themeColor="text1"/>
                <w:sz w:val="24"/>
                <w:szCs w:val="24"/>
              </w:rPr>
            </w:pPr>
            <w:r>
              <w:rPr>
                <w:rFonts w:cs="Arial"/>
                <w:color w:val="000000" w:themeColor="text1"/>
                <w:szCs w:val="28"/>
              </w:rPr>
              <w:t>With regard to options (c) and (d) it is estimated that the cost of a new build residential home would be upwards of £8m. Of course both of these options would require residents to move from Lower Ridge</w:t>
            </w:r>
          </w:p>
          <w:p w:rsidR="009117DF" w:rsidP="000E74CC">
            <w:pPr>
              <w:outlineLvl w:val="0"/>
            </w:pPr>
            <w:r>
              <w:t xml:space="preserve">These options and their significant costs needs to be balanced against the practical impact of closure on residents and others who are affected as set out in question 3 and mitigated in question 6.  </w:t>
            </w:r>
          </w:p>
          <w:p w:rsidR="00DF7CB9" w:rsidP="000E74CC">
            <w:pPr>
              <w:outlineLvl w:val="0"/>
            </w:pPr>
            <w:r>
              <w:t xml:space="preserve">Essentially, the major impact on people could take the form of </w:t>
            </w:r>
          </w:p>
          <w:p w:rsidR="00DF7CB9" w:rsidP="00DF7CB9">
            <w:pPr>
              <w:pStyle w:val="ListParagraph"/>
              <w:numPr>
                <w:ilvl w:val="0"/>
                <w:numId w:val="13"/>
              </w:numPr>
              <w:outlineLvl w:val="0"/>
            </w:pPr>
            <w:r>
              <w:t xml:space="preserve">Significant anxiety for everyone involved in  moving those affected from their home and immediate community, including the residents themselves, </w:t>
            </w:r>
          </w:p>
          <w:p w:rsidR="00DF7CB9" w:rsidP="00DF7CB9">
            <w:pPr>
              <w:pStyle w:val="ListParagraph"/>
              <w:numPr>
                <w:ilvl w:val="0"/>
                <w:numId w:val="13"/>
              </w:numPr>
              <w:outlineLvl w:val="0"/>
            </w:pPr>
            <w:r>
              <w:t xml:space="preserve">The potential and understandable upset that people may experience during and after any move, </w:t>
            </w:r>
          </w:p>
          <w:p w:rsidR="00DF7CB9" w:rsidP="00DF7CB9">
            <w:pPr>
              <w:pStyle w:val="ListParagraph"/>
              <w:numPr>
                <w:ilvl w:val="0"/>
                <w:numId w:val="13"/>
              </w:numPr>
              <w:outlineLvl w:val="0"/>
            </w:pPr>
            <w:r>
              <w:t xml:space="preserve">The concerns of relatives and staff, including potential significant inconvenience to relatives and visitors </w:t>
            </w:r>
          </w:p>
          <w:p w:rsidR="00DF7CB9" w:rsidP="00DF7CB9">
            <w:pPr>
              <w:pStyle w:val="ListParagraph"/>
              <w:numPr>
                <w:ilvl w:val="0"/>
                <w:numId w:val="13"/>
              </w:numPr>
              <w:outlineLvl w:val="0"/>
            </w:pPr>
            <w:r>
              <w:t xml:space="preserve">The impact on the loss of jobs for paid staff at Lower Ridge itself.  </w:t>
            </w:r>
          </w:p>
          <w:p w:rsidR="000E74CC" w:rsidP="00DF7CB9">
            <w:pPr>
              <w:pStyle w:val="ListParagraph"/>
              <w:numPr>
                <w:ilvl w:val="0"/>
                <w:numId w:val="13"/>
              </w:numPr>
              <w:outlineLvl w:val="0"/>
            </w:pPr>
            <w:r>
              <w:t>Any of these could also impact on the health and well-being of the residents and their families or friends</w:t>
            </w:r>
          </w:p>
          <w:p w:rsidR="000E74CC" w:rsidRPr="003C2620" w:rsidP="000E74CC">
            <w:pPr>
              <w:outlineLvl w:val="0"/>
            </w:pPr>
          </w:p>
        </w:tc>
      </w:tr>
    </w:tbl>
    <w:p w:rsidR="000E74CC" w:rsidP="000E74CC">
      <w:pPr>
        <w:outlineLvl w:val="0"/>
        <w:rPr>
          <w:b/>
        </w:rPr>
      </w:pPr>
    </w:p>
    <w:p w:rsidR="00DF7CB9" w:rsidP="000E74CC">
      <w:pPr>
        <w:outlineLvl w:val="0"/>
        <w:rPr>
          <w:b/>
        </w:rPr>
      </w:pPr>
    </w:p>
    <w:p w:rsidR="000E74CC" w:rsidRPr="00A46E3B" w:rsidP="000E74CC">
      <w:pPr>
        <w:outlineLvl w:val="0"/>
        <w:rPr>
          <w:b/>
        </w:rPr>
      </w:pPr>
      <w:r w:rsidRPr="00AB2588">
        <w:rPr>
          <w:b/>
        </w:rPr>
        <w:t xml:space="preserve">Question </w:t>
      </w:r>
      <w:r>
        <w:rPr>
          <w:b/>
        </w:rPr>
        <w:t>10</w:t>
      </w:r>
      <w:r w:rsidRPr="00AB2588">
        <w:rPr>
          <w:b/>
        </w:rPr>
        <w:t xml:space="preserve"> – Final Proposal</w:t>
      </w:r>
    </w:p>
    <w:p w:rsidR="000E74CC" w:rsidRPr="00A46E3B" w:rsidP="000E74CC">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E74CC" w:rsidRPr="00786D25" w:rsidP="000E74CC">
            <w:pPr>
              <w:rPr>
                <w:rFonts w:cs="Arial"/>
                <w:szCs w:val="28"/>
              </w:rPr>
            </w:pPr>
            <w:r w:rsidRPr="00786D25">
              <w:rPr>
                <w:rFonts w:cs="Arial"/>
                <w:szCs w:val="28"/>
              </w:rPr>
              <w:t>That, taking account of the consultation and the Equality Analysis, as well as the other factors set out in the report and this document, Cabinet approve the closure of Lower Ridge, Burnley.</w:t>
            </w:r>
          </w:p>
          <w:p w:rsidR="000E74CC" w:rsidRPr="00786D25" w:rsidP="000E74CC">
            <w:pPr>
              <w:rPr>
                <w:rFonts w:cs="Arial"/>
                <w:szCs w:val="28"/>
              </w:rPr>
            </w:pPr>
            <w:r w:rsidRPr="00786D25">
              <w:rPr>
                <w:rFonts w:cs="Arial"/>
                <w:szCs w:val="28"/>
              </w:rPr>
              <w:t xml:space="preserve">In support of this, that Cabinet be recommended </w:t>
            </w:r>
            <w:r>
              <w:rPr>
                <w:rFonts w:cs="Arial"/>
                <w:szCs w:val="28"/>
              </w:rPr>
              <w:t>to authorise the Director of Adult Services</w:t>
            </w:r>
            <w:r w:rsidRPr="00786D25">
              <w:rPr>
                <w:rFonts w:cs="Arial"/>
                <w:szCs w:val="28"/>
              </w:rPr>
              <w:t>:</w:t>
            </w:r>
          </w:p>
          <w:p w:rsidR="000E74CC" w:rsidRPr="00786D25" w:rsidP="000E74CC">
            <w:pPr>
              <w:pStyle w:val="ListParagraph"/>
              <w:numPr>
                <w:ilvl w:val="0"/>
                <w:numId w:val="9"/>
              </w:numPr>
              <w:spacing w:after="240" w:line="240" w:lineRule="auto"/>
              <w:contextualSpacing w:val="0"/>
              <w:rPr>
                <w:rFonts w:cs="Arial"/>
                <w:szCs w:val="28"/>
              </w:rPr>
            </w:pPr>
            <w:r>
              <w:rPr>
                <w:rFonts w:cs="Arial"/>
                <w:szCs w:val="28"/>
              </w:rPr>
              <w:t>To e</w:t>
            </w:r>
            <w:r w:rsidRPr="00786D25">
              <w:rPr>
                <w:rFonts w:cs="Arial"/>
                <w:szCs w:val="28"/>
              </w:rPr>
              <w:t>nsure a schedule is drawn up for the home closure that balances the need for each individual and their family to have appropriate time to make decisions against the overall need for the closure process to be managed within a timescale that minimises uncertainty for residents, families and staff affected.</w:t>
            </w:r>
          </w:p>
          <w:p w:rsidR="000E74CC" w:rsidRPr="00786D25" w:rsidP="000E74CC">
            <w:pPr>
              <w:pStyle w:val="ListParagraph"/>
              <w:numPr>
                <w:ilvl w:val="0"/>
                <w:numId w:val="9"/>
              </w:numPr>
              <w:spacing w:after="240" w:line="240" w:lineRule="auto"/>
              <w:contextualSpacing w:val="0"/>
              <w:rPr>
                <w:rFonts w:cs="Arial"/>
                <w:szCs w:val="28"/>
              </w:rPr>
            </w:pPr>
            <w:r w:rsidRPr="00786D25">
              <w:rPr>
                <w:rFonts w:cs="Arial"/>
                <w:szCs w:val="28"/>
              </w:rPr>
              <w:t>To hold any appropriate vacancies within County Council operated care homes in East Lancashire until current Lower Ridge residents with their families have had an opportunity to decide to which home they would prefer to move</w:t>
            </w:r>
          </w:p>
          <w:p w:rsidR="000E74CC" w:rsidRPr="00786D25" w:rsidP="000E74CC">
            <w:pPr>
              <w:pStyle w:val="ListParagraph"/>
              <w:numPr>
                <w:ilvl w:val="0"/>
                <w:numId w:val="9"/>
              </w:numPr>
              <w:spacing w:after="0" w:line="240" w:lineRule="auto"/>
              <w:contextualSpacing w:val="0"/>
              <w:rPr>
                <w:rFonts w:cs="Arial"/>
                <w:szCs w:val="28"/>
              </w:rPr>
            </w:pPr>
            <w:r w:rsidRPr="00786D25">
              <w:rPr>
                <w:rFonts w:cs="Arial"/>
                <w:szCs w:val="28"/>
              </w:rPr>
              <w:t>To delegate responsibility to the Head of Social Care (Community) to exercise oversight, discretion and flexibility in agreeing fee levels for Lower Ridge residents who wish to move into independent sector homes</w:t>
            </w:r>
          </w:p>
          <w:p w:rsidR="000E74CC" w:rsidRPr="00786D25" w:rsidP="000E74CC">
            <w:pPr>
              <w:ind w:left="1080"/>
              <w:rPr>
                <w:rFonts w:cs="Arial"/>
                <w:szCs w:val="28"/>
              </w:rPr>
            </w:pPr>
          </w:p>
          <w:p w:rsidR="000E74CC" w:rsidRPr="00786D25" w:rsidP="000E74CC">
            <w:pPr>
              <w:pStyle w:val="ListParagraph"/>
              <w:numPr>
                <w:ilvl w:val="0"/>
                <w:numId w:val="9"/>
              </w:numPr>
              <w:spacing w:after="0" w:line="240" w:lineRule="auto"/>
              <w:contextualSpacing w:val="0"/>
              <w:rPr>
                <w:rFonts w:cs="Arial"/>
                <w:szCs w:val="28"/>
              </w:rPr>
            </w:pPr>
            <w:r w:rsidRPr="00786D25">
              <w:rPr>
                <w:rFonts w:cs="Arial"/>
                <w:szCs w:val="28"/>
              </w:rPr>
              <w:t>To endorse as a priority that the County Council should work intensively and creatively with local government and NHS partners in Burnley to develop Extra Care services</w:t>
            </w:r>
          </w:p>
          <w:p w:rsidR="000E74CC" w:rsidP="000E74CC"/>
        </w:tc>
      </w:tr>
    </w:tbl>
    <w:p w:rsidR="000E74CC" w:rsidP="000E74CC"/>
    <w:p w:rsidR="00FA3E29" w:rsidP="000E74CC"/>
    <w:p w:rsidR="00FA3E29" w:rsidP="000E74CC"/>
    <w:p w:rsidR="000E74CC" w:rsidP="000E74CC">
      <w:pPr>
        <w:outlineLvl w:val="0"/>
        <w:rPr>
          <w:b/>
        </w:rPr>
      </w:pPr>
      <w:r w:rsidRPr="00AB2588">
        <w:rPr>
          <w:b/>
        </w:rPr>
        <w:t xml:space="preserve">Question </w:t>
      </w:r>
      <w:r>
        <w:rPr>
          <w:b/>
        </w:rPr>
        <w:t>11</w:t>
      </w:r>
      <w:r w:rsidRPr="00AB2588">
        <w:rPr>
          <w:b/>
        </w:rPr>
        <w:t xml:space="preserve"> – Review and Monitoring Arrangements</w:t>
      </w:r>
    </w:p>
    <w:p w:rsidR="000E74CC" w:rsidP="000E74CC">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E74CC" w:rsidP="000E74CC">
            <w:r>
              <w:t xml:space="preserve">If the closure is approved a project team will be formed and led by the Head of Older People's Services and appropriate social work managers.  This will also ensure that any resident moves occur in a managed, safe and sensitive way with full involvement of the family and friends of the individuals concerned to assist them in making choices of where to move.  </w:t>
            </w:r>
          </w:p>
          <w:p w:rsidR="00080D38" w:rsidRPr="003C2620" w:rsidP="000E74CC"/>
        </w:tc>
      </w:tr>
    </w:tbl>
    <w:p w:rsidR="000E74CC" w:rsidP="000E74CC">
      <w:pPr>
        <w:rPr>
          <w:b/>
        </w:rPr>
      </w:pPr>
    </w:p>
    <w:p w:rsidR="000E74CC" w:rsidRPr="00AB2588" w:rsidP="000E74CC">
      <w:pPr>
        <w:rPr>
          <w:b/>
        </w:rPr>
      </w:pPr>
    </w:p>
    <w:p w:rsidR="000E74CC" w:rsidP="000E74CC">
      <w:pPr>
        <w:outlineLvl w:val="0"/>
      </w:pPr>
      <w:r>
        <w:t xml:space="preserve">Equality Analysis Prepared By Chris Bagshaw </w:t>
      </w:r>
    </w:p>
    <w:p w:rsidR="000E74CC" w:rsidP="000E74CC">
      <w:pPr>
        <w:outlineLvl w:val="0"/>
      </w:pPr>
      <w:r>
        <w:t xml:space="preserve">Position/Role Head of Older Peoples Care Service </w:t>
      </w:r>
    </w:p>
    <w:p w:rsidR="000E74CC" w:rsidP="000E74CC">
      <w:pPr>
        <w:outlineLvl w:val="0"/>
      </w:pPr>
      <w:r>
        <w:t xml:space="preserve">Equality Analysis Endorsed by Line Manager and/or Service Head  </w:t>
      </w:r>
    </w:p>
    <w:p w:rsidR="000E74CC" w:rsidP="000E74CC">
      <w:pPr>
        <w:outlineLvl w:val="0"/>
      </w:pPr>
      <w:r>
        <w:t>Tony Pounder (Director of Adult Services)</w:t>
      </w:r>
    </w:p>
    <w:p w:rsidR="000E74CC" w:rsidP="000E74CC">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0E74CC" w:rsidP="000E74CC">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0E74CC" w:rsidP="000E74CC"/>
    <w:p w:rsidR="000E74CC" w:rsidP="000E74CC">
      <w:r>
        <w:t>For further information please contact</w:t>
      </w:r>
    </w:p>
    <w:p w:rsidR="000E74CC" w:rsidP="000E74CC">
      <w:r>
        <w:t>Jeanette Binns – Equality &amp; Cohesion Manager</w:t>
      </w:r>
    </w:p>
    <w:p w:rsidR="000E74CC" w:rsidP="000E74CC">
      <w:pPr>
        <w:outlineLvl w:val="0"/>
      </w:pPr>
      <w:r>
        <w:fldChar w:fldCharType="begin"/>
      </w:r>
      <w:r>
        <w:instrText xml:space="preserve"> HYPERLINK "mailto:Jeanette.binns@lancashire.gov.uk" </w:instrText>
      </w:r>
      <w:r>
        <w:fldChar w:fldCharType="separate"/>
      </w:r>
      <w:r w:rsidRPr="00C91E9C" w:rsidR="00DC27A9">
        <w:rPr>
          <w:rStyle w:val="Hyperlink"/>
        </w:rPr>
        <w:t>Jeanette.binns@lancashire.gov.uk</w:t>
      </w:r>
      <w:r>
        <w:fldChar w:fldCharType="end"/>
      </w:r>
    </w:p>
    <w:sectPr w:rsidSect="000E74CC">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4CC">
    <w:pPr>
      <w:pStyle w:val="Footer"/>
      <w:jc w:val="center"/>
    </w:pPr>
    <w:r>
      <w:fldChar w:fldCharType="begin"/>
    </w:r>
    <w:r>
      <w:instrText xml:space="preserve"> PAGE   \* MERGEFORMAT </w:instrText>
    </w:r>
    <w:r>
      <w:fldChar w:fldCharType="separate"/>
    </w:r>
    <w:r w:rsidR="00EB6D7B">
      <w:rPr>
        <w:noProof/>
      </w:rPr>
      <w:t>16</w:t>
    </w:r>
    <w:r>
      <w:rPr>
        <w:noProof/>
      </w:rPr>
      <w:fldChar w:fldCharType="end"/>
    </w:r>
  </w:p>
  <w:p w:rsidR="000E74C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9D557B"/>
    <w:multiLevelType w:val="hybridMultilevel"/>
    <w:tmpl w:val="38C40A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ED250A"/>
    <w:multiLevelType w:val="hybridMultilevel"/>
    <w:tmpl w:val="4476F81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A57F20"/>
    <w:multiLevelType w:val="hybridMultilevel"/>
    <w:tmpl w:val="4476F81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5">
    <w:nsid w:val="393619CB"/>
    <w:multiLevelType w:val="hybridMultilevel"/>
    <w:tmpl w:val="8C2E55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F1D7E60"/>
    <w:multiLevelType w:val="hybridMultilevel"/>
    <w:tmpl w:val="1EEED7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8">
    <w:nsid w:val="5DEF6D39"/>
    <w:multiLevelType w:val="hybridMultilevel"/>
    <w:tmpl w:val="EE7A6E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24A098D"/>
    <w:multiLevelType w:val="hybridMultilevel"/>
    <w:tmpl w:val="42E00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9C16E30"/>
    <w:multiLevelType w:val="hybridMultilevel"/>
    <w:tmpl w:val="24D8C404"/>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0"/>
  </w:num>
  <w:num w:numId="5">
    <w:abstractNumId w:val="10"/>
  </w:num>
  <w:num w:numId="6">
    <w:abstractNumId w:val="5"/>
  </w:num>
  <w:num w:numId="7">
    <w:abstractNumId w:val="8"/>
  </w:num>
  <w:num w:numId="8">
    <w:abstractNumId w:val="1"/>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02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90E7-4D52-49DC-A14B-1D0F979E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17</Pages>
  <Words>3716</Words>
  <Characters>19528</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binns</dc:creator>
  <cp:lastModifiedBy>Pounder, Tony</cp:lastModifiedBy>
  <cp:revision>14</cp:revision>
  <cp:lastPrinted>2011-11-09T13:19:00Z</cp:lastPrinted>
  <dcterms:created xsi:type="dcterms:W3CDTF">2018-08-24T16:55:00Z</dcterms:created>
  <dcterms:modified xsi:type="dcterms:W3CDTF">2018-08-30T11:49:00Z</dcterms:modified>
</cp:coreProperties>
</file>